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82A9C" w14:textId="77777777" w:rsidR="004571CC" w:rsidRPr="003C5180" w:rsidRDefault="004F6578" w:rsidP="009E26F5">
      <w:pPr>
        <w:pStyle w:val="Heading1"/>
        <w:tabs>
          <w:tab w:val="left" w:pos="1815"/>
        </w:tabs>
        <w:jc w:val="center"/>
        <w:rPr>
          <w:rFonts w:ascii="Calibri" w:hAnsi="Calibri"/>
        </w:rPr>
      </w:pPr>
      <w:bookmarkStart w:id="0" w:name="studytitle"/>
      <w:bookmarkStart w:id="1" w:name="_Toc470102453"/>
      <w:r>
        <w:rPr>
          <w:rFonts w:ascii="Calibri" w:hAnsi="Calibri"/>
        </w:rPr>
        <w:t>Babies born Early Antibody Response to Men B vaccination: BEAR Men B</w:t>
      </w:r>
      <w:bookmarkEnd w:id="0"/>
      <w:bookmarkEnd w:id="1"/>
    </w:p>
    <w:p w14:paraId="427768CE" w14:textId="77777777" w:rsidR="004571CC" w:rsidRPr="003C5180" w:rsidRDefault="004571CC" w:rsidP="00610A21">
      <w:pPr>
        <w:pStyle w:val="Normal-nospacing"/>
        <w:rPr>
          <w:rFonts w:cs="Tahoma"/>
          <w:color w:val="FF0000"/>
          <w:sz w:val="22"/>
          <w:szCs w:val="22"/>
        </w:rPr>
      </w:pPr>
      <w:r w:rsidRPr="003C5180">
        <w:rPr>
          <w:rFonts w:cs="Tahoma"/>
          <w:b/>
          <w:sz w:val="22"/>
          <w:szCs w:val="22"/>
        </w:rPr>
        <w:t xml:space="preserve">Sponsor’s </w:t>
      </w:r>
      <w:r w:rsidR="00F65B1B" w:rsidRPr="003C5180">
        <w:rPr>
          <w:rFonts w:cs="Tahoma"/>
          <w:b/>
          <w:sz w:val="22"/>
          <w:szCs w:val="22"/>
        </w:rPr>
        <w:t xml:space="preserve">Project </w:t>
      </w:r>
      <w:r w:rsidRPr="003C5180">
        <w:rPr>
          <w:rFonts w:cs="Tahoma"/>
          <w:b/>
          <w:sz w:val="22"/>
          <w:szCs w:val="22"/>
        </w:rPr>
        <w:t xml:space="preserve">Number: </w:t>
      </w:r>
      <w:bookmarkStart w:id="2" w:name="SPONSORref"/>
      <w:r w:rsidR="00990432" w:rsidRPr="000C2939">
        <w:rPr>
          <w:rFonts w:cs="Tahoma"/>
          <w:color w:val="000000"/>
          <w:sz w:val="22"/>
          <w:szCs w:val="22"/>
        </w:rPr>
        <w:t>16.0247</w:t>
      </w:r>
    </w:p>
    <w:bookmarkEnd w:id="2"/>
    <w:p w14:paraId="79FC8145" w14:textId="77777777" w:rsidR="004571CC" w:rsidRPr="003C5180" w:rsidRDefault="004571CC" w:rsidP="00610A21">
      <w:pPr>
        <w:pStyle w:val="Normal-nospacing"/>
        <w:rPr>
          <w:rFonts w:cs="Tahoma"/>
          <w:color w:val="FF0000"/>
          <w:sz w:val="22"/>
          <w:szCs w:val="22"/>
        </w:rPr>
      </w:pPr>
      <w:r w:rsidRPr="003C5180">
        <w:rPr>
          <w:rFonts w:cs="Tahoma"/>
          <w:b/>
          <w:sz w:val="22"/>
          <w:szCs w:val="22"/>
        </w:rPr>
        <w:t>EudraCT number:</w:t>
      </w:r>
      <w:r w:rsidR="00F4235D" w:rsidRPr="00F4235D">
        <w:rPr>
          <w:rStyle w:val="Heading1Char"/>
        </w:rPr>
        <w:t xml:space="preserve"> </w:t>
      </w:r>
      <w:r w:rsidR="00F4235D">
        <w:rPr>
          <w:rStyle w:val="labelblue"/>
        </w:rPr>
        <w:t>2017-001487-38</w:t>
      </w:r>
      <w:r w:rsidRPr="003C5180">
        <w:rPr>
          <w:rFonts w:cs="Tahoma"/>
          <w:b/>
          <w:color w:val="4F81BD"/>
          <w:sz w:val="22"/>
          <w:szCs w:val="22"/>
        </w:rPr>
        <w:t xml:space="preserve"> </w:t>
      </w:r>
    </w:p>
    <w:p w14:paraId="66F83D7C" w14:textId="77777777" w:rsidR="007E48ED" w:rsidRPr="003C5180" w:rsidRDefault="00C04468" w:rsidP="00610A21">
      <w:pPr>
        <w:pStyle w:val="Normal-nospacing"/>
        <w:rPr>
          <w:rFonts w:cs="Tahoma"/>
          <w:color w:val="FF0000"/>
          <w:sz w:val="22"/>
          <w:szCs w:val="22"/>
        </w:rPr>
      </w:pPr>
      <w:r w:rsidRPr="003C5180">
        <w:rPr>
          <w:rFonts w:cs="Tahoma"/>
          <w:b/>
          <w:sz w:val="22"/>
          <w:szCs w:val="22"/>
        </w:rPr>
        <w:t>Public</w:t>
      </w:r>
      <w:r w:rsidR="00F65B1B" w:rsidRPr="003C5180">
        <w:rPr>
          <w:rFonts w:cs="Tahoma"/>
          <w:b/>
          <w:sz w:val="22"/>
          <w:szCs w:val="22"/>
        </w:rPr>
        <w:t>ly available</w:t>
      </w:r>
      <w:r w:rsidRPr="003C5180">
        <w:rPr>
          <w:rFonts w:cs="Tahoma"/>
          <w:b/>
          <w:sz w:val="22"/>
          <w:szCs w:val="22"/>
        </w:rPr>
        <w:t xml:space="preserve"> </w:t>
      </w:r>
      <w:r w:rsidR="007E48ED" w:rsidRPr="003C5180">
        <w:rPr>
          <w:rFonts w:cs="Tahoma"/>
          <w:b/>
          <w:sz w:val="22"/>
          <w:szCs w:val="22"/>
        </w:rPr>
        <w:t>Trial Registration Number</w:t>
      </w:r>
      <w:bookmarkStart w:id="3" w:name="ISCTRNNo"/>
      <w:r w:rsidRPr="003C5180">
        <w:rPr>
          <w:rFonts w:cs="Tahoma"/>
          <w:b/>
          <w:sz w:val="22"/>
          <w:szCs w:val="22"/>
        </w:rPr>
        <w:t xml:space="preserve"> ID</w:t>
      </w:r>
      <w:r w:rsidR="007E48ED" w:rsidRPr="00CB69DF">
        <w:rPr>
          <w:rFonts w:cs="Tahoma"/>
          <w:sz w:val="22"/>
          <w:szCs w:val="22"/>
        </w:rPr>
        <w:t xml:space="preserve">: </w:t>
      </w:r>
      <w:r w:rsidR="000531D6" w:rsidRPr="00CB69DF">
        <w:rPr>
          <w:szCs w:val="24"/>
          <w:lang w:eastAsia="en-GB"/>
        </w:rPr>
        <w:t>NCT03125616</w:t>
      </w:r>
      <w:bookmarkEnd w:id="3"/>
    </w:p>
    <w:p w14:paraId="5C5B9CFB" w14:textId="77777777" w:rsidR="00296FAA" w:rsidRPr="003C5180" w:rsidRDefault="00764183" w:rsidP="00610A21">
      <w:pPr>
        <w:pStyle w:val="Normal-nospacing"/>
        <w:rPr>
          <w:rFonts w:cs="Tahoma"/>
          <w:b/>
          <w:sz w:val="22"/>
          <w:szCs w:val="22"/>
        </w:rPr>
      </w:pPr>
      <w:r w:rsidRPr="003C5180">
        <w:rPr>
          <w:rFonts w:cs="Tahoma"/>
          <w:b/>
          <w:sz w:val="22"/>
          <w:szCs w:val="22"/>
        </w:rPr>
        <w:t xml:space="preserve">IRAS ID: </w:t>
      </w:r>
      <w:r w:rsidR="00BF4CA9">
        <w:rPr>
          <w:rFonts w:cs="Tahoma"/>
          <w:b/>
          <w:sz w:val="22"/>
          <w:szCs w:val="22"/>
        </w:rPr>
        <w:t>223266</w:t>
      </w:r>
    </w:p>
    <w:p w14:paraId="41A22858" w14:textId="77777777" w:rsidR="00F01463" w:rsidRPr="003C5180" w:rsidRDefault="00F01463" w:rsidP="00610A21">
      <w:pPr>
        <w:pStyle w:val="Normal-nospacing"/>
        <w:rPr>
          <w:rFonts w:cs="Tahoma"/>
          <w:b/>
          <w:sz w:val="22"/>
          <w:szCs w:val="22"/>
        </w:rPr>
      </w:pPr>
    </w:p>
    <w:p w14:paraId="04F285AC" w14:textId="77777777" w:rsidR="004571CC" w:rsidRPr="003C5180" w:rsidRDefault="004571CC" w:rsidP="008B7233">
      <w:pPr>
        <w:pStyle w:val="Listofabbreviations"/>
        <w:ind w:left="0" w:firstLine="0"/>
        <w:rPr>
          <w:b/>
          <w:sz w:val="23"/>
          <w:szCs w:val="24"/>
          <w:lang w:eastAsia="en-GB"/>
        </w:rPr>
      </w:pPr>
      <w:r w:rsidRPr="003C5180">
        <w:rPr>
          <w:b/>
          <w:sz w:val="23"/>
          <w:szCs w:val="24"/>
          <w:lang w:eastAsia="en-GB"/>
        </w:rPr>
        <w:t>CHIEF INVESTIGATOR</w:t>
      </w:r>
      <w:r w:rsidR="00924817" w:rsidRPr="003C5180">
        <w:rPr>
          <w:b/>
          <w:sz w:val="23"/>
          <w:szCs w:val="24"/>
          <w:lang w:eastAsia="en-GB"/>
        </w:rPr>
        <w:t xml:space="preserve"> (CI)</w:t>
      </w:r>
      <w:r w:rsidRPr="003C5180">
        <w:rPr>
          <w:b/>
          <w:sz w:val="23"/>
          <w:szCs w:val="24"/>
          <w:lang w:eastAsia="en-GB"/>
        </w:rPr>
        <w:t>:</w:t>
      </w:r>
    </w:p>
    <w:p w14:paraId="66FED8D2" w14:textId="77777777" w:rsidR="00F01463" w:rsidRPr="003C5180" w:rsidRDefault="00F01463" w:rsidP="008B7233">
      <w:pPr>
        <w:pStyle w:val="Listofabbreviations"/>
        <w:rPr>
          <w:sz w:val="23"/>
          <w:szCs w:val="24"/>
          <w:lang w:eastAsia="en-GB"/>
        </w:rPr>
      </w:pPr>
    </w:p>
    <w:p w14:paraId="59D0D91D" w14:textId="77777777" w:rsidR="006849C0" w:rsidRPr="003C5180" w:rsidRDefault="006849C0" w:rsidP="008B7233">
      <w:pPr>
        <w:pStyle w:val="Listofabbreviations"/>
        <w:ind w:left="0" w:firstLine="0"/>
        <w:rPr>
          <w:sz w:val="23"/>
          <w:szCs w:val="24"/>
          <w:lang w:eastAsia="en-GB"/>
        </w:rPr>
      </w:pPr>
      <w:r w:rsidRPr="003C5180">
        <w:rPr>
          <w:sz w:val="23"/>
          <w:szCs w:val="24"/>
          <w:lang w:eastAsia="en-GB"/>
        </w:rPr>
        <w:t>Prof. Paul Heath</w:t>
      </w:r>
    </w:p>
    <w:p w14:paraId="3C260BCC" w14:textId="77777777" w:rsidR="006849C0" w:rsidRPr="003C5180" w:rsidRDefault="006849C0" w:rsidP="008B7233">
      <w:pPr>
        <w:pStyle w:val="Listofabbreviations"/>
        <w:ind w:left="0" w:firstLine="0"/>
        <w:rPr>
          <w:sz w:val="23"/>
          <w:szCs w:val="24"/>
          <w:lang w:eastAsia="en-GB"/>
        </w:rPr>
      </w:pPr>
      <w:r w:rsidRPr="003C5180">
        <w:rPr>
          <w:sz w:val="23"/>
          <w:szCs w:val="24"/>
          <w:lang w:eastAsia="en-GB"/>
        </w:rPr>
        <w:t>Professor in Paediatric Infectious Diseases, Honorary Consultant</w:t>
      </w:r>
    </w:p>
    <w:p w14:paraId="1A9F57EB" w14:textId="77777777" w:rsidR="006849C0" w:rsidRPr="003C5180" w:rsidRDefault="0015457C" w:rsidP="008B7233">
      <w:pPr>
        <w:pStyle w:val="Listofabbreviations"/>
        <w:ind w:left="0" w:firstLine="0"/>
        <w:rPr>
          <w:sz w:val="23"/>
          <w:szCs w:val="24"/>
          <w:lang w:eastAsia="en-GB"/>
        </w:rPr>
      </w:pPr>
      <w:r>
        <w:rPr>
          <w:sz w:val="23"/>
          <w:szCs w:val="24"/>
          <w:lang w:eastAsia="en-GB"/>
        </w:rPr>
        <w:t>Institute of Infection and Immunity</w:t>
      </w:r>
    </w:p>
    <w:p w14:paraId="6DFC9ECC" w14:textId="77777777" w:rsidR="006849C0" w:rsidRPr="003C5180" w:rsidRDefault="006849C0" w:rsidP="008B7233">
      <w:pPr>
        <w:pStyle w:val="Listofabbreviations"/>
        <w:ind w:left="0" w:firstLine="0"/>
        <w:rPr>
          <w:sz w:val="23"/>
          <w:szCs w:val="24"/>
          <w:lang w:eastAsia="en-GB"/>
        </w:rPr>
      </w:pPr>
      <w:r w:rsidRPr="003C5180">
        <w:rPr>
          <w:sz w:val="23"/>
          <w:szCs w:val="24"/>
          <w:lang w:eastAsia="en-GB"/>
        </w:rPr>
        <w:t>St George’s, University of London, Cranmer Terrace,</w:t>
      </w:r>
    </w:p>
    <w:p w14:paraId="0F64DC71" w14:textId="56BEAACA" w:rsidR="006849C0" w:rsidRPr="003C5180" w:rsidRDefault="006849C0" w:rsidP="008B7233">
      <w:pPr>
        <w:pStyle w:val="Listofabbreviations"/>
        <w:ind w:left="0" w:firstLine="0"/>
        <w:rPr>
          <w:sz w:val="23"/>
          <w:szCs w:val="24"/>
          <w:lang w:eastAsia="en-GB"/>
        </w:rPr>
      </w:pPr>
      <w:r w:rsidRPr="003C5180">
        <w:rPr>
          <w:sz w:val="23"/>
          <w:szCs w:val="24"/>
          <w:lang w:eastAsia="en-GB"/>
        </w:rPr>
        <w:t>London SW17</w:t>
      </w:r>
      <w:r w:rsidR="00D416A4">
        <w:rPr>
          <w:sz w:val="23"/>
          <w:szCs w:val="24"/>
          <w:lang w:eastAsia="en-GB"/>
        </w:rPr>
        <w:t xml:space="preserve"> </w:t>
      </w:r>
      <w:r w:rsidRPr="003C5180">
        <w:rPr>
          <w:sz w:val="23"/>
          <w:szCs w:val="24"/>
          <w:lang w:eastAsia="en-GB"/>
        </w:rPr>
        <w:t>0RE, United Kingdom.</w:t>
      </w:r>
    </w:p>
    <w:p w14:paraId="2B6996EC" w14:textId="77777777" w:rsidR="00B002BF" w:rsidRPr="003C5180" w:rsidRDefault="00B002BF" w:rsidP="008B7233">
      <w:pPr>
        <w:pStyle w:val="Listofabbreviations"/>
        <w:rPr>
          <w:sz w:val="23"/>
          <w:szCs w:val="24"/>
          <w:lang w:eastAsia="en-GB"/>
        </w:rPr>
      </w:pPr>
    </w:p>
    <w:p w14:paraId="0CCF943C" w14:textId="77777777" w:rsidR="00F01463" w:rsidRPr="003C5180" w:rsidRDefault="004571CC" w:rsidP="008B7233">
      <w:pPr>
        <w:pStyle w:val="Listofabbreviations"/>
        <w:ind w:left="0" w:firstLine="0"/>
        <w:rPr>
          <w:sz w:val="23"/>
          <w:szCs w:val="24"/>
          <w:lang w:eastAsia="en-GB"/>
        </w:rPr>
      </w:pPr>
      <w:r w:rsidRPr="003C5180">
        <w:rPr>
          <w:b/>
          <w:sz w:val="23"/>
          <w:szCs w:val="24"/>
          <w:lang w:eastAsia="en-GB"/>
        </w:rPr>
        <w:t>Phone:</w:t>
      </w:r>
      <w:r w:rsidRPr="003C5180">
        <w:rPr>
          <w:sz w:val="23"/>
          <w:szCs w:val="24"/>
          <w:lang w:eastAsia="en-GB"/>
        </w:rPr>
        <w:t xml:space="preserve"> </w:t>
      </w:r>
      <w:r w:rsidR="007104C5" w:rsidRPr="003C5180">
        <w:rPr>
          <w:sz w:val="23"/>
          <w:szCs w:val="24"/>
          <w:lang w:eastAsia="en-GB"/>
        </w:rPr>
        <w:t>Office: +44 (0)2087255980; Sec: +44 (0)2087253922</w:t>
      </w:r>
    </w:p>
    <w:p w14:paraId="127673A1" w14:textId="77777777" w:rsidR="007104C5" w:rsidRPr="003C5180" w:rsidRDefault="004571CC" w:rsidP="008B7233">
      <w:pPr>
        <w:pStyle w:val="Listofabbreviations"/>
        <w:ind w:left="0" w:firstLine="0"/>
        <w:rPr>
          <w:sz w:val="23"/>
          <w:szCs w:val="24"/>
          <w:lang w:eastAsia="en-GB"/>
        </w:rPr>
      </w:pPr>
      <w:r w:rsidRPr="003C5180">
        <w:rPr>
          <w:b/>
          <w:sz w:val="23"/>
          <w:szCs w:val="24"/>
          <w:lang w:eastAsia="en-GB"/>
        </w:rPr>
        <w:t>Email:</w:t>
      </w:r>
      <w:r w:rsidRPr="003C5180">
        <w:rPr>
          <w:sz w:val="23"/>
          <w:szCs w:val="24"/>
          <w:lang w:eastAsia="en-GB"/>
        </w:rPr>
        <w:t xml:space="preserve"> </w:t>
      </w:r>
      <w:bookmarkStart w:id="4" w:name="OLE_LINK82"/>
      <w:bookmarkStart w:id="5" w:name="OLE_LINK83"/>
      <w:r w:rsidR="00485A78">
        <w:fldChar w:fldCharType="begin"/>
      </w:r>
      <w:r w:rsidR="00F379DC">
        <w:instrText xml:space="preserve"> HYPERLINK "mailto:pheath@sgul.ac.uk" </w:instrText>
      </w:r>
      <w:r w:rsidR="00485A78">
        <w:fldChar w:fldCharType="separate"/>
      </w:r>
      <w:r w:rsidR="007104C5" w:rsidRPr="003C5180">
        <w:rPr>
          <w:sz w:val="23"/>
          <w:szCs w:val="24"/>
          <w:lang w:eastAsia="en-GB"/>
        </w:rPr>
        <w:t>pheath@sgul.ac.uk</w:t>
      </w:r>
      <w:r w:rsidR="00485A78">
        <w:rPr>
          <w:sz w:val="23"/>
          <w:szCs w:val="24"/>
          <w:lang w:eastAsia="en-GB"/>
        </w:rPr>
        <w:fldChar w:fldCharType="end"/>
      </w:r>
      <w:bookmarkEnd w:id="4"/>
      <w:bookmarkEnd w:id="5"/>
    </w:p>
    <w:p w14:paraId="653E92F2" w14:textId="77777777" w:rsidR="004571CC" w:rsidRPr="003C5180" w:rsidRDefault="004571CC" w:rsidP="008B7233">
      <w:pPr>
        <w:pStyle w:val="Listofabbreviations"/>
        <w:ind w:left="0" w:firstLine="0"/>
        <w:rPr>
          <w:sz w:val="23"/>
          <w:szCs w:val="24"/>
          <w:lang w:eastAsia="en-GB"/>
        </w:rPr>
      </w:pPr>
      <w:r w:rsidRPr="003C5180">
        <w:rPr>
          <w:b/>
          <w:sz w:val="23"/>
          <w:szCs w:val="24"/>
          <w:lang w:eastAsia="en-GB"/>
        </w:rPr>
        <w:t>Fax:</w:t>
      </w:r>
      <w:r w:rsidRPr="003C5180">
        <w:rPr>
          <w:sz w:val="23"/>
          <w:szCs w:val="24"/>
          <w:lang w:eastAsia="en-GB"/>
        </w:rPr>
        <w:t xml:space="preserve"> </w:t>
      </w:r>
      <w:r w:rsidR="007104C5" w:rsidRPr="003C5180">
        <w:rPr>
          <w:sz w:val="23"/>
          <w:szCs w:val="24"/>
          <w:lang w:eastAsia="en-GB"/>
        </w:rPr>
        <w:t xml:space="preserve"> +44 (0)2087250716</w:t>
      </w:r>
    </w:p>
    <w:p w14:paraId="2C98353E" w14:textId="77777777" w:rsidR="00F01463" w:rsidRPr="003C5180" w:rsidRDefault="00F01463" w:rsidP="00610A21">
      <w:pPr>
        <w:pStyle w:val="Normal-nospacing"/>
        <w:rPr>
          <w:rFonts w:cs="Tahoma"/>
          <w:sz w:val="22"/>
          <w:szCs w:val="22"/>
        </w:rPr>
      </w:pPr>
    </w:p>
    <w:p w14:paraId="663F5181" w14:textId="77777777" w:rsidR="00534C49" w:rsidRPr="003C5180" w:rsidRDefault="00F65B1B" w:rsidP="00610A21">
      <w:pPr>
        <w:pStyle w:val="Normal-nospacing"/>
        <w:rPr>
          <w:szCs w:val="24"/>
          <w:lang w:eastAsia="en-GB"/>
        </w:rPr>
      </w:pPr>
      <w:r w:rsidRPr="003C5180">
        <w:rPr>
          <w:b/>
          <w:szCs w:val="24"/>
          <w:lang w:eastAsia="en-GB"/>
        </w:rPr>
        <w:t>SPONSOR:</w:t>
      </w:r>
      <w:r w:rsidR="00534C49" w:rsidRPr="003C5180">
        <w:rPr>
          <w:szCs w:val="24"/>
          <w:lang w:eastAsia="en-GB"/>
        </w:rPr>
        <w:t xml:space="preserve"> St George’s University of London </w:t>
      </w:r>
    </w:p>
    <w:p w14:paraId="2626B4BB" w14:textId="77777777" w:rsidR="006849C0" w:rsidRPr="003C5180" w:rsidRDefault="006849C0" w:rsidP="00610A21">
      <w:pPr>
        <w:pStyle w:val="Normal-nospacing"/>
        <w:rPr>
          <w:rFonts w:cs="Tahoma"/>
          <w:sz w:val="22"/>
          <w:szCs w:val="22"/>
        </w:rPr>
      </w:pPr>
    </w:p>
    <w:p w14:paraId="35F02EDE" w14:textId="2D9279E7" w:rsidR="004571CC" w:rsidRPr="003C5180" w:rsidRDefault="004571CC" w:rsidP="00610A21">
      <w:pPr>
        <w:pStyle w:val="Normal-nospacing"/>
        <w:rPr>
          <w:b/>
          <w:szCs w:val="24"/>
          <w:lang w:eastAsia="en-GB"/>
        </w:rPr>
      </w:pPr>
      <w:r w:rsidRPr="003C5180">
        <w:rPr>
          <w:b/>
          <w:szCs w:val="24"/>
          <w:lang w:eastAsia="en-GB"/>
        </w:rPr>
        <w:t xml:space="preserve">SPONSOR </w:t>
      </w:r>
      <w:r w:rsidR="0013526D">
        <w:rPr>
          <w:b/>
          <w:szCs w:val="24"/>
          <w:lang w:eastAsia="en-GB"/>
        </w:rPr>
        <w:t>CONTACT</w:t>
      </w:r>
      <w:r w:rsidRPr="003C5180">
        <w:rPr>
          <w:b/>
          <w:szCs w:val="24"/>
          <w:lang w:eastAsia="en-GB"/>
        </w:rPr>
        <w:t>:</w:t>
      </w:r>
    </w:p>
    <w:p w14:paraId="5A42D8AF" w14:textId="77777777" w:rsidR="00F01463" w:rsidRPr="003C5180" w:rsidRDefault="00F01463" w:rsidP="00610A21">
      <w:pPr>
        <w:pStyle w:val="Normal-nospacing"/>
        <w:rPr>
          <w:szCs w:val="24"/>
          <w:lang w:eastAsia="en-GB"/>
        </w:rPr>
      </w:pPr>
    </w:p>
    <w:p w14:paraId="517F89D7" w14:textId="77777777" w:rsidR="004571CC" w:rsidRPr="003C5180" w:rsidRDefault="002B2933" w:rsidP="007104C5">
      <w:pPr>
        <w:pStyle w:val="Normal-nospacing"/>
        <w:spacing w:line="276" w:lineRule="auto"/>
        <w:rPr>
          <w:szCs w:val="24"/>
          <w:lang w:eastAsia="en-GB"/>
        </w:rPr>
      </w:pPr>
      <w:r w:rsidRPr="003C5180">
        <w:rPr>
          <w:szCs w:val="24"/>
          <w:lang w:eastAsia="en-GB"/>
        </w:rPr>
        <w:t>Debbie Rolfe</w:t>
      </w:r>
    </w:p>
    <w:p w14:paraId="24D7D5E6" w14:textId="77777777" w:rsidR="004571CC" w:rsidRPr="003C5180" w:rsidRDefault="004571CC" w:rsidP="007104C5">
      <w:pPr>
        <w:pStyle w:val="Normal-nospacing"/>
        <w:spacing w:line="276" w:lineRule="auto"/>
        <w:rPr>
          <w:szCs w:val="24"/>
          <w:lang w:eastAsia="en-GB"/>
        </w:rPr>
      </w:pPr>
      <w:r w:rsidRPr="003C5180">
        <w:rPr>
          <w:szCs w:val="24"/>
          <w:lang w:eastAsia="en-GB"/>
        </w:rPr>
        <w:t>St George’s Joint Research</w:t>
      </w:r>
      <w:r w:rsidR="002B2933" w:rsidRPr="003C5180">
        <w:rPr>
          <w:szCs w:val="24"/>
          <w:lang w:eastAsia="en-GB"/>
        </w:rPr>
        <w:t xml:space="preserve"> and Enterprise</w:t>
      </w:r>
      <w:r w:rsidRPr="003C5180">
        <w:rPr>
          <w:szCs w:val="24"/>
          <w:lang w:eastAsia="en-GB"/>
        </w:rPr>
        <w:t xml:space="preserve"> Office (JR</w:t>
      </w:r>
      <w:r w:rsidR="002B2933" w:rsidRPr="003C5180">
        <w:rPr>
          <w:szCs w:val="24"/>
          <w:lang w:eastAsia="en-GB"/>
        </w:rPr>
        <w:t>E</w:t>
      </w:r>
      <w:r w:rsidRPr="003C5180">
        <w:rPr>
          <w:szCs w:val="24"/>
          <w:lang w:eastAsia="en-GB"/>
        </w:rPr>
        <w:t>O)</w:t>
      </w:r>
    </w:p>
    <w:p w14:paraId="07359566" w14:textId="77777777" w:rsidR="004571CC" w:rsidRPr="003C5180" w:rsidRDefault="004571CC" w:rsidP="007104C5">
      <w:pPr>
        <w:pStyle w:val="Normal-nospacing"/>
        <w:spacing w:line="276" w:lineRule="auto"/>
        <w:rPr>
          <w:szCs w:val="24"/>
          <w:lang w:eastAsia="en-GB"/>
        </w:rPr>
      </w:pPr>
      <w:r w:rsidRPr="003C5180">
        <w:rPr>
          <w:szCs w:val="24"/>
          <w:lang w:eastAsia="en-GB"/>
        </w:rPr>
        <w:t>Hunter Wing, Ground Floor</w:t>
      </w:r>
    </w:p>
    <w:p w14:paraId="2DB1306A" w14:textId="77777777" w:rsidR="004571CC" w:rsidRPr="003C5180" w:rsidRDefault="004571CC" w:rsidP="007104C5">
      <w:pPr>
        <w:pStyle w:val="Normal-nospacing"/>
        <w:spacing w:line="276" w:lineRule="auto"/>
        <w:rPr>
          <w:szCs w:val="24"/>
          <w:lang w:eastAsia="en-GB"/>
        </w:rPr>
      </w:pPr>
      <w:r w:rsidRPr="003C5180">
        <w:rPr>
          <w:szCs w:val="24"/>
          <w:lang w:eastAsia="en-GB"/>
        </w:rPr>
        <w:t>Cranmer Terrace</w:t>
      </w:r>
    </w:p>
    <w:p w14:paraId="019B1B7E" w14:textId="77777777" w:rsidR="004571CC" w:rsidRPr="003C5180" w:rsidRDefault="004571CC" w:rsidP="007104C5">
      <w:pPr>
        <w:pStyle w:val="Normal-nospacing"/>
        <w:spacing w:line="276" w:lineRule="auto"/>
        <w:rPr>
          <w:szCs w:val="24"/>
          <w:lang w:eastAsia="en-GB"/>
        </w:rPr>
      </w:pPr>
      <w:r w:rsidRPr="003C5180">
        <w:rPr>
          <w:szCs w:val="24"/>
          <w:lang w:eastAsia="en-GB"/>
        </w:rPr>
        <w:t>London SW17 0RE</w:t>
      </w:r>
    </w:p>
    <w:p w14:paraId="367A611A" w14:textId="77777777" w:rsidR="00B002BF" w:rsidRPr="003C5180" w:rsidRDefault="00B002BF" w:rsidP="00610A21">
      <w:pPr>
        <w:pStyle w:val="Normal-nospacing"/>
        <w:rPr>
          <w:szCs w:val="24"/>
          <w:lang w:eastAsia="en-GB"/>
        </w:rPr>
      </w:pPr>
    </w:p>
    <w:p w14:paraId="0FEC025C" w14:textId="77777777" w:rsidR="004571CC" w:rsidRPr="003C5180" w:rsidRDefault="004571CC" w:rsidP="00610A21">
      <w:pPr>
        <w:pStyle w:val="Normal-nospacing"/>
        <w:rPr>
          <w:szCs w:val="24"/>
          <w:lang w:eastAsia="en-GB"/>
        </w:rPr>
      </w:pPr>
      <w:r w:rsidRPr="003C5180">
        <w:rPr>
          <w:b/>
          <w:szCs w:val="24"/>
          <w:lang w:eastAsia="en-GB"/>
        </w:rPr>
        <w:t>Phone:</w:t>
      </w:r>
      <w:r w:rsidRPr="003C5180">
        <w:rPr>
          <w:szCs w:val="24"/>
          <w:lang w:eastAsia="en-GB"/>
        </w:rPr>
        <w:t xml:space="preserve"> </w:t>
      </w:r>
      <w:r w:rsidR="002B2933" w:rsidRPr="003C5180">
        <w:rPr>
          <w:szCs w:val="24"/>
          <w:lang w:eastAsia="en-GB"/>
        </w:rPr>
        <w:t>020 8725 5013        </w:t>
      </w:r>
    </w:p>
    <w:p w14:paraId="6C232F2D" w14:textId="77777777" w:rsidR="004571CC" w:rsidRPr="003C5180" w:rsidRDefault="004571CC" w:rsidP="00610A21">
      <w:pPr>
        <w:pStyle w:val="Normal-nospacing"/>
        <w:rPr>
          <w:szCs w:val="24"/>
          <w:lang w:eastAsia="en-GB"/>
        </w:rPr>
      </w:pPr>
      <w:r w:rsidRPr="003C5180">
        <w:rPr>
          <w:b/>
          <w:szCs w:val="24"/>
          <w:lang w:eastAsia="en-GB"/>
        </w:rPr>
        <w:t>Email:</w:t>
      </w:r>
      <w:r w:rsidRPr="003C5180">
        <w:rPr>
          <w:szCs w:val="24"/>
          <w:lang w:eastAsia="en-GB"/>
        </w:rPr>
        <w:t xml:space="preserve"> </w:t>
      </w:r>
      <w:hyperlink r:id="rId8" w:history="1">
        <w:r w:rsidR="002B2933" w:rsidRPr="003C5180">
          <w:rPr>
            <w:szCs w:val="24"/>
            <w:lang w:eastAsia="en-GB"/>
          </w:rPr>
          <w:t>drolfe@sgul.ac.uk</w:t>
        </w:r>
      </w:hyperlink>
    </w:p>
    <w:p w14:paraId="1CD5D48D" w14:textId="77777777" w:rsidR="004571CC" w:rsidRPr="003C5180" w:rsidRDefault="004571CC" w:rsidP="00610A21">
      <w:pPr>
        <w:pStyle w:val="Normal-nospacing"/>
        <w:rPr>
          <w:szCs w:val="24"/>
          <w:lang w:eastAsia="en-GB"/>
        </w:rPr>
      </w:pPr>
      <w:r w:rsidRPr="003C5180">
        <w:rPr>
          <w:b/>
          <w:szCs w:val="24"/>
          <w:lang w:eastAsia="en-GB"/>
        </w:rPr>
        <w:t>Fax:</w:t>
      </w:r>
      <w:r w:rsidRPr="003C5180">
        <w:rPr>
          <w:szCs w:val="24"/>
          <w:lang w:eastAsia="en-GB"/>
        </w:rPr>
        <w:t xml:space="preserve"> 020 8725 0794</w:t>
      </w:r>
    </w:p>
    <w:p w14:paraId="5247DACC" w14:textId="77777777" w:rsidR="004571CC" w:rsidRPr="003C5180" w:rsidRDefault="004571CC" w:rsidP="00610A21">
      <w:pPr>
        <w:pStyle w:val="Normal-nospacing"/>
        <w:rPr>
          <w:rFonts w:cs="Tahoma"/>
          <w:sz w:val="22"/>
          <w:szCs w:val="22"/>
        </w:rPr>
      </w:pPr>
    </w:p>
    <w:p w14:paraId="29A19914" w14:textId="77777777" w:rsidR="007104C5" w:rsidRPr="003C5180" w:rsidRDefault="00A221CE" w:rsidP="00610A21">
      <w:pPr>
        <w:pStyle w:val="Normal-nospacing"/>
        <w:rPr>
          <w:szCs w:val="24"/>
          <w:lang w:eastAsia="en-GB"/>
        </w:rPr>
      </w:pPr>
      <w:r w:rsidRPr="003C5180">
        <w:rPr>
          <w:b/>
          <w:szCs w:val="24"/>
          <w:lang w:eastAsia="en-GB"/>
        </w:rPr>
        <w:t>Funding source:</w:t>
      </w:r>
      <w:r w:rsidR="007104C5" w:rsidRPr="003C5180">
        <w:rPr>
          <w:rFonts w:cs="Tahoma"/>
          <w:sz w:val="22"/>
          <w:szCs w:val="22"/>
        </w:rPr>
        <w:t xml:space="preserve"> </w:t>
      </w:r>
      <w:r w:rsidR="007104C5" w:rsidRPr="003C5180">
        <w:rPr>
          <w:szCs w:val="24"/>
          <w:lang w:eastAsia="en-GB"/>
        </w:rPr>
        <w:t xml:space="preserve">Meningitis Now </w:t>
      </w:r>
      <w:r w:rsidR="0015457C">
        <w:rPr>
          <w:szCs w:val="24"/>
          <w:lang w:eastAsia="en-GB"/>
        </w:rPr>
        <w:t xml:space="preserve">and </w:t>
      </w:r>
      <w:r w:rsidR="007104C5" w:rsidRPr="003C5180">
        <w:rPr>
          <w:szCs w:val="24"/>
          <w:lang w:eastAsia="en-GB"/>
        </w:rPr>
        <w:t>GSK</w:t>
      </w:r>
    </w:p>
    <w:p w14:paraId="377A6D5B" w14:textId="77777777" w:rsidR="00B002BF" w:rsidRPr="003C5180" w:rsidRDefault="00B002BF" w:rsidP="00610A21">
      <w:pPr>
        <w:pStyle w:val="Normal-nospacing"/>
        <w:rPr>
          <w:rFonts w:cs="Tahoma"/>
          <w:sz w:val="22"/>
          <w:szCs w:val="22"/>
        </w:rPr>
      </w:pPr>
    </w:p>
    <w:p w14:paraId="6EC214C5" w14:textId="77777777" w:rsidR="00B002BF" w:rsidRPr="003C5180" w:rsidRDefault="00B002BF" w:rsidP="00610A21">
      <w:pPr>
        <w:pStyle w:val="Normal-nospacing"/>
        <w:rPr>
          <w:rFonts w:cs="Tahoma"/>
          <w:sz w:val="22"/>
          <w:szCs w:val="22"/>
        </w:rPr>
      </w:pPr>
    </w:p>
    <w:p w14:paraId="26A3CC2B" w14:textId="77777777" w:rsidR="002D1E7E" w:rsidRPr="003C5180" w:rsidRDefault="004571CC" w:rsidP="00930EEC">
      <w:pPr>
        <w:pStyle w:val="Smalltext"/>
        <w:rPr>
          <w:rFonts w:ascii="Calibri" w:hAnsi="Calibri"/>
          <w:szCs w:val="16"/>
        </w:rPr>
      </w:pPr>
      <w:r w:rsidRPr="003C5180">
        <w:rPr>
          <w:rFonts w:ascii="Calibri" w:hAnsi="Calibri"/>
          <w:szCs w:val="16"/>
        </w:rPr>
        <w:t xml:space="preserve">Information in this protocol is confidential and should not be disclosed, other than to those directly involved in the execution or the ethical/regulatory review of the study, without written authorisation from St George’s Joint Research </w:t>
      </w:r>
      <w:r w:rsidR="00B86202" w:rsidRPr="003C5180">
        <w:rPr>
          <w:rFonts w:ascii="Calibri" w:hAnsi="Calibri"/>
          <w:szCs w:val="16"/>
        </w:rPr>
        <w:t xml:space="preserve">and Enterprise </w:t>
      </w:r>
      <w:r w:rsidRPr="003C5180">
        <w:rPr>
          <w:rFonts w:ascii="Calibri" w:hAnsi="Calibri"/>
          <w:szCs w:val="16"/>
        </w:rPr>
        <w:t>Office (JR</w:t>
      </w:r>
      <w:r w:rsidR="00B86202" w:rsidRPr="003C5180">
        <w:rPr>
          <w:rFonts w:ascii="Calibri" w:hAnsi="Calibri"/>
          <w:szCs w:val="16"/>
        </w:rPr>
        <w:t>E</w:t>
      </w:r>
      <w:r w:rsidRPr="003C5180">
        <w:rPr>
          <w:rFonts w:ascii="Calibri" w:hAnsi="Calibri"/>
          <w:szCs w:val="16"/>
        </w:rPr>
        <w:t>O) or its affiliates.</w:t>
      </w:r>
    </w:p>
    <w:p w14:paraId="74DC582C" w14:textId="77777777" w:rsidR="004571CC" w:rsidRPr="003C5180" w:rsidRDefault="00B2656A" w:rsidP="001612E2">
      <w:pPr>
        <w:pStyle w:val="Smalltext"/>
        <w:rPr>
          <w:rFonts w:ascii="Calibri" w:hAnsi="Calibri"/>
          <w:b/>
          <w:sz w:val="28"/>
          <w:szCs w:val="28"/>
        </w:rPr>
      </w:pPr>
      <w:r w:rsidRPr="003C5180">
        <w:rPr>
          <w:rFonts w:ascii="Calibri" w:hAnsi="Calibri"/>
          <w:szCs w:val="16"/>
        </w:rPr>
        <w:br w:type="page"/>
      </w:r>
      <w:r w:rsidR="004571CC" w:rsidRPr="003C5180">
        <w:rPr>
          <w:rFonts w:ascii="Calibri" w:hAnsi="Calibri" w:cs="Times New Roman"/>
          <w:b/>
          <w:sz w:val="28"/>
          <w:szCs w:val="28"/>
          <w:lang w:eastAsia="en-GB"/>
        </w:rPr>
        <w:lastRenderedPageBreak/>
        <w:t>Signature Page and Statement</w:t>
      </w:r>
    </w:p>
    <w:p w14:paraId="442F85EC" w14:textId="25317C06" w:rsidR="004571CC" w:rsidRPr="003C5180" w:rsidRDefault="004571CC" w:rsidP="00924817">
      <w:pPr>
        <w:spacing w:after="0" w:line="320" w:lineRule="exact"/>
        <w:jc w:val="both"/>
        <w:rPr>
          <w:lang w:eastAsia="en-GB"/>
        </w:rPr>
      </w:pPr>
      <w:r w:rsidRPr="003C5180">
        <w:rPr>
          <w:lang w:eastAsia="en-GB"/>
        </w:rPr>
        <w:t xml:space="preserve">The Chief Investigator (CI) and the </w:t>
      </w:r>
      <w:r w:rsidR="007662B2" w:rsidRPr="003C5180">
        <w:rPr>
          <w:lang w:eastAsia="en-GB"/>
        </w:rPr>
        <w:t>Sponsor representative</w:t>
      </w:r>
      <w:r w:rsidRPr="003C5180">
        <w:rPr>
          <w:lang w:eastAsia="en-GB"/>
        </w:rPr>
        <w:t xml:space="preserve"> have discussed this protocol</w:t>
      </w:r>
      <w:r w:rsidR="00A96A8F" w:rsidRPr="003C5180">
        <w:rPr>
          <w:lang w:eastAsia="en-GB"/>
        </w:rPr>
        <w:t xml:space="preserve"> version</w:t>
      </w:r>
      <w:r w:rsidRPr="003C5180">
        <w:rPr>
          <w:lang w:eastAsia="en-GB"/>
        </w:rPr>
        <w:t xml:space="preserve">. The investigators agree to perform the investigations and to abide by this protocol except in </w:t>
      </w:r>
      <w:r w:rsidR="00DE6944" w:rsidRPr="003C5180">
        <w:rPr>
          <w:lang w:eastAsia="en-GB"/>
        </w:rPr>
        <w:t xml:space="preserve">the </w:t>
      </w:r>
      <w:r w:rsidRPr="003C5180">
        <w:rPr>
          <w:lang w:eastAsia="en-GB"/>
        </w:rPr>
        <w:t xml:space="preserve">case </w:t>
      </w:r>
      <w:r w:rsidR="002A3C4B" w:rsidRPr="003C5180">
        <w:rPr>
          <w:lang w:eastAsia="en-GB"/>
        </w:rPr>
        <w:t xml:space="preserve">of medical emergency </w:t>
      </w:r>
      <w:r w:rsidRPr="003C5180">
        <w:rPr>
          <w:lang w:eastAsia="en-GB"/>
        </w:rPr>
        <w:t xml:space="preserve">or where departures from </w:t>
      </w:r>
      <w:r w:rsidR="007662B2" w:rsidRPr="003C5180">
        <w:rPr>
          <w:lang w:eastAsia="en-GB"/>
        </w:rPr>
        <w:t>the protocol</w:t>
      </w:r>
      <w:r w:rsidRPr="003C5180">
        <w:rPr>
          <w:lang w:eastAsia="en-GB"/>
        </w:rPr>
        <w:t xml:space="preserve"> are agreed in writing</w:t>
      </w:r>
      <w:r w:rsidR="00983E69">
        <w:rPr>
          <w:lang w:eastAsia="en-GB"/>
        </w:rPr>
        <w:t xml:space="preserve"> by the Sponsor</w:t>
      </w:r>
      <w:r w:rsidRPr="003C5180">
        <w:rPr>
          <w:lang w:eastAsia="en-GB"/>
        </w:rPr>
        <w:t>.</w:t>
      </w:r>
    </w:p>
    <w:p w14:paraId="7CC74747" w14:textId="7A59C021" w:rsidR="007662B2" w:rsidRDefault="007662B2" w:rsidP="007662B2">
      <w:pPr>
        <w:jc w:val="both"/>
        <w:rPr>
          <w:lang w:eastAsia="en-GB"/>
        </w:rPr>
      </w:pPr>
      <w:r w:rsidRPr="003C5180">
        <w:rPr>
          <w:lang w:eastAsia="en-GB"/>
        </w:rPr>
        <w:t xml:space="preserve">The investigator agrees to conduct the trial in compliance with the approved protocol, EU GCP and UK Regulations for CTIMPs (SI 2004/1031; as amended), the UK Data Protection Act (1998), the </w:t>
      </w:r>
      <w:r w:rsidR="004375DD" w:rsidRPr="003C5180">
        <w:rPr>
          <w:lang w:eastAsia="en-GB"/>
        </w:rPr>
        <w:t xml:space="preserve">St George’s NHS </w:t>
      </w:r>
      <w:r w:rsidRPr="003C5180">
        <w:rPr>
          <w:lang w:eastAsia="en-GB"/>
        </w:rPr>
        <w:t xml:space="preserve">Trust Information Governance Policy (or other local equivalent), </w:t>
      </w:r>
      <w:r w:rsidR="00950A13">
        <w:rPr>
          <w:lang w:eastAsia="en-GB"/>
        </w:rPr>
        <w:t>UK Policy Framework for Health and Social Care Research v3.2 October 2017</w:t>
      </w:r>
      <w:r w:rsidR="00EB48D5">
        <w:rPr>
          <w:lang w:eastAsia="en-GB"/>
        </w:rPr>
        <w:t xml:space="preserve">, </w:t>
      </w:r>
      <w:r w:rsidRPr="003C5180">
        <w:rPr>
          <w:lang w:eastAsia="en-GB"/>
        </w:rPr>
        <w:t xml:space="preserve">the Sponsor’s </w:t>
      </w:r>
      <w:r w:rsidR="00AF55BE" w:rsidRPr="003C5180">
        <w:rPr>
          <w:lang w:eastAsia="en-GB"/>
        </w:rPr>
        <w:t>Standard Operating Procedures (</w:t>
      </w:r>
      <w:r w:rsidRPr="003C5180">
        <w:rPr>
          <w:lang w:eastAsia="en-GB"/>
        </w:rPr>
        <w:t>SOPs</w:t>
      </w:r>
      <w:r w:rsidR="00AF55BE">
        <w:rPr>
          <w:lang w:eastAsia="en-GB"/>
        </w:rPr>
        <w:t>)</w:t>
      </w:r>
      <w:r w:rsidRPr="003C5180">
        <w:rPr>
          <w:lang w:eastAsia="en-GB"/>
        </w:rPr>
        <w:t>, and other regulatory requirements as amended.</w:t>
      </w:r>
    </w:p>
    <w:p w14:paraId="045265BA" w14:textId="5AFB014D" w:rsidR="00ED2F59" w:rsidRDefault="00EE5AFF" w:rsidP="00B254F4">
      <w:pPr>
        <w:jc w:val="both"/>
        <w:rPr>
          <w:lang w:eastAsia="en-GB"/>
        </w:rPr>
      </w:pPr>
      <w:r w:rsidRPr="00EE5AFF">
        <w:rPr>
          <w:lang w:eastAsia="en-GB"/>
        </w:rPr>
        <w:t>I also confirm that I will make the findings of the study publically available through publication or other dissemination tools without any unnecessary delay and that an honest accurate and transparent account of the study will be given; and that any discrepancies from the study as planned in this protocol will be explained.</w:t>
      </w:r>
    </w:p>
    <w:p w14:paraId="712FB3A4" w14:textId="6031363F" w:rsidR="00926B6F" w:rsidRPr="003C5180" w:rsidRDefault="004571CC" w:rsidP="00B254F4">
      <w:pPr>
        <w:jc w:val="both"/>
        <w:rPr>
          <w:lang w:eastAsia="en-GB"/>
        </w:rPr>
      </w:pPr>
      <w:r w:rsidRPr="003C5180">
        <w:rPr>
          <w:lang w:eastAsia="en-GB"/>
        </w:rPr>
        <w:t xml:space="preserve">This protocol has been written in accordance to the Sponsor’s procedure identified as: </w:t>
      </w:r>
      <w:r w:rsidR="004375DD" w:rsidRPr="003C5180">
        <w:rPr>
          <w:lang w:eastAsia="en-GB"/>
        </w:rPr>
        <w:t>JREOSOP0039 ‘Protocol Design’ and is intended for use at UK sites only.</w:t>
      </w:r>
    </w:p>
    <w:tbl>
      <w:tblPr>
        <w:tblW w:w="9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4"/>
        <w:gridCol w:w="3099"/>
        <w:gridCol w:w="2253"/>
      </w:tblGrid>
      <w:tr w:rsidR="004571CC" w:rsidRPr="003C5180" w14:paraId="6208A06D" w14:textId="77777777" w:rsidTr="00FB4896">
        <w:trPr>
          <w:cantSplit/>
          <w:trHeight w:val="1274"/>
        </w:trPr>
        <w:tc>
          <w:tcPr>
            <w:tcW w:w="3944" w:type="dxa"/>
          </w:tcPr>
          <w:p w14:paraId="46FF45A6" w14:textId="77777777" w:rsidR="004571CC" w:rsidRPr="003C5180" w:rsidRDefault="004571CC" w:rsidP="00610A21">
            <w:pPr>
              <w:pStyle w:val="Normal-nospacing"/>
              <w:rPr>
                <w:b/>
                <w:szCs w:val="24"/>
                <w:lang w:eastAsia="en-GB"/>
              </w:rPr>
            </w:pPr>
            <w:r w:rsidRPr="003C5180">
              <w:rPr>
                <w:b/>
                <w:szCs w:val="24"/>
                <w:lang w:eastAsia="en-GB"/>
              </w:rPr>
              <w:t>Chief Investigator</w:t>
            </w:r>
          </w:p>
          <w:p w14:paraId="4A1FD7E2" w14:textId="77777777" w:rsidR="00B002BF" w:rsidRPr="003C5180" w:rsidRDefault="007104C5" w:rsidP="00610A21">
            <w:pPr>
              <w:pStyle w:val="Normal-nospacing"/>
              <w:rPr>
                <w:szCs w:val="24"/>
                <w:lang w:eastAsia="en-GB"/>
              </w:rPr>
            </w:pPr>
            <w:bookmarkStart w:id="6" w:name="chiefinvestigator"/>
            <w:r w:rsidRPr="003C5180">
              <w:rPr>
                <w:szCs w:val="24"/>
                <w:lang w:eastAsia="en-GB"/>
              </w:rPr>
              <w:t>Professor Paul Heath</w:t>
            </w:r>
          </w:p>
          <w:p w14:paraId="42A9C621" w14:textId="2FA05743" w:rsidR="007104C5" w:rsidRPr="003C5180" w:rsidRDefault="007104C5" w:rsidP="00610A21">
            <w:pPr>
              <w:pStyle w:val="Normal-nospacing"/>
              <w:rPr>
                <w:szCs w:val="24"/>
                <w:lang w:eastAsia="en-GB"/>
              </w:rPr>
            </w:pPr>
            <w:r w:rsidRPr="003C5180">
              <w:rPr>
                <w:szCs w:val="24"/>
                <w:lang w:eastAsia="en-GB"/>
              </w:rPr>
              <w:t>Professor Paediatric Infectious Diseases</w:t>
            </w:r>
          </w:p>
          <w:p w14:paraId="0622AF57" w14:textId="77777777" w:rsidR="00B86202" w:rsidRPr="003C5180" w:rsidRDefault="00B86202" w:rsidP="007104C5">
            <w:pPr>
              <w:pStyle w:val="Normal-nospacing"/>
              <w:rPr>
                <w:rFonts w:cs="Tahoma"/>
                <w:color w:val="FF0000"/>
                <w:sz w:val="22"/>
                <w:szCs w:val="22"/>
              </w:rPr>
            </w:pPr>
            <w:r w:rsidRPr="003C5180">
              <w:rPr>
                <w:szCs w:val="24"/>
                <w:lang w:eastAsia="en-GB"/>
              </w:rPr>
              <w:t>St George’s, University of London</w:t>
            </w:r>
            <w:bookmarkEnd w:id="6"/>
          </w:p>
        </w:tc>
        <w:tc>
          <w:tcPr>
            <w:tcW w:w="3099" w:type="dxa"/>
          </w:tcPr>
          <w:p w14:paraId="7BAD5DCA" w14:textId="77777777" w:rsidR="004571CC" w:rsidRPr="003C5180" w:rsidRDefault="00B86202" w:rsidP="00610A21">
            <w:pPr>
              <w:pStyle w:val="Normal-nospacing"/>
              <w:rPr>
                <w:rFonts w:cs="Tahoma"/>
                <w:sz w:val="22"/>
                <w:szCs w:val="22"/>
              </w:rPr>
            </w:pPr>
            <w:r w:rsidRPr="003C5180">
              <w:rPr>
                <w:szCs w:val="24"/>
                <w:lang w:eastAsia="en-GB"/>
              </w:rPr>
              <w:t>Signature</w:t>
            </w:r>
          </w:p>
        </w:tc>
        <w:tc>
          <w:tcPr>
            <w:tcW w:w="2253" w:type="dxa"/>
          </w:tcPr>
          <w:p w14:paraId="44F40FA2" w14:textId="77777777" w:rsidR="004571CC" w:rsidRPr="003C5180" w:rsidRDefault="00B86202" w:rsidP="00610A21">
            <w:pPr>
              <w:pStyle w:val="Normal-nospacing"/>
              <w:rPr>
                <w:rFonts w:cs="Tahoma"/>
                <w:sz w:val="22"/>
                <w:szCs w:val="22"/>
              </w:rPr>
            </w:pPr>
            <w:r w:rsidRPr="003C5180">
              <w:rPr>
                <w:szCs w:val="24"/>
                <w:lang w:eastAsia="en-GB"/>
              </w:rPr>
              <w:t>Date</w:t>
            </w:r>
          </w:p>
        </w:tc>
      </w:tr>
      <w:tr w:rsidR="00926B6F" w:rsidRPr="003C5180" w14:paraId="35F53733" w14:textId="77777777" w:rsidTr="00FB4896">
        <w:trPr>
          <w:cantSplit/>
          <w:trHeight w:val="1274"/>
        </w:trPr>
        <w:tc>
          <w:tcPr>
            <w:tcW w:w="3944" w:type="dxa"/>
          </w:tcPr>
          <w:p w14:paraId="6D66912E" w14:textId="77777777" w:rsidR="00926B6F" w:rsidRDefault="00926B6F" w:rsidP="00610A21">
            <w:pPr>
              <w:pStyle w:val="Normal-nospacing"/>
              <w:rPr>
                <w:b/>
                <w:szCs w:val="24"/>
                <w:lang w:eastAsia="en-GB"/>
              </w:rPr>
            </w:pPr>
            <w:r>
              <w:rPr>
                <w:b/>
                <w:szCs w:val="24"/>
                <w:lang w:eastAsia="en-GB"/>
              </w:rPr>
              <w:t>Sponsor Representative</w:t>
            </w:r>
          </w:p>
          <w:p w14:paraId="78AE7540" w14:textId="77777777" w:rsidR="00926B6F" w:rsidRPr="00B254F4" w:rsidRDefault="00926B6F" w:rsidP="00926B6F">
            <w:pPr>
              <w:pStyle w:val="Normal-nospacing"/>
              <w:rPr>
                <w:szCs w:val="24"/>
                <w:lang w:eastAsia="en-GB"/>
              </w:rPr>
            </w:pPr>
            <w:r w:rsidRPr="00B254F4">
              <w:rPr>
                <w:szCs w:val="24"/>
                <w:lang w:eastAsia="en-GB"/>
              </w:rPr>
              <w:t xml:space="preserve">Subhir Bedi </w:t>
            </w:r>
            <w:r w:rsidRPr="00B254F4">
              <w:rPr>
                <w:szCs w:val="24"/>
                <w:lang w:eastAsia="en-GB"/>
              </w:rPr>
              <w:br/>
              <w:t>Head of Research Governance and Delivery</w:t>
            </w:r>
          </w:p>
          <w:p w14:paraId="57E4A507" w14:textId="57D50A84" w:rsidR="00926B6F" w:rsidRPr="003C5180" w:rsidRDefault="00926B6F" w:rsidP="00926B6F">
            <w:pPr>
              <w:pStyle w:val="Normal-nospacing"/>
              <w:rPr>
                <w:b/>
                <w:szCs w:val="24"/>
                <w:lang w:eastAsia="en-GB"/>
              </w:rPr>
            </w:pPr>
            <w:r w:rsidRPr="00B254F4">
              <w:rPr>
                <w:szCs w:val="24"/>
                <w:lang w:eastAsia="en-GB"/>
              </w:rPr>
              <w:t>St George’s University of London</w:t>
            </w:r>
          </w:p>
        </w:tc>
        <w:tc>
          <w:tcPr>
            <w:tcW w:w="3099" w:type="dxa"/>
          </w:tcPr>
          <w:p w14:paraId="799BE8FD" w14:textId="77777777" w:rsidR="00926B6F" w:rsidRPr="003C5180" w:rsidRDefault="00926B6F" w:rsidP="00610A21">
            <w:pPr>
              <w:pStyle w:val="Normal-nospacing"/>
              <w:rPr>
                <w:szCs w:val="24"/>
                <w:lang w:eastAsia="en-GB"/>
              </w:rPr>
            </w:pPr>
          </w:p>
        </w:tc>
        <w:tc>
          <w:tcPr>
            <w:tcW w:w="2253" w:type="dxa"/>
          </w:tcPr>
          <w:p w14:paraId="6D461DE1" w14:textId="77777777" w:rsidR="00926B6F" w:rsidRPr="003C5180" w:rsidRDefault="00926B6F" w:rsidP="00610A21">
            <w:pPr>
              <w:pStyle w:val="Normal-nospacing"/>
              <w:rPr>
                <w:szCs w:val="24"/>
                <w:lang w:eastAsia="en-GB"/>
              </w:rPr>
            </w:pPr>
          </w:p>
        </w:tc>
      </w:tr>
    </w:tbl>
    <w:p w14:paraId="1AC19639" w14:textId="77777777" w:rsidR="002A62E6" w:rsidRPr="003C5180" w:rsidRDefault="002A62E6" w:rsidP="008B7233">
      <w:pPr>
        <w:pStyle w:val="Smalltext"/>
        <w:jc w:val="left"/>
        <w:rPr>
          <w:rFonts w:ascii="Calibri" w:hAnsi="Calibri" w:cs="Times New Roman"/>
          <w:b/>
          <w:sz w:val="28"/>
          <w:szCs w:val="28"/>
          <w:lang w:eastAsia="en-GB"/>
        </w:rPr>
      </w:pPr>
      <w:r w:rsidRPr="003C5180">
        <w:rPr>
          <w:rFonts w:ascii="Calibri" w:hAnsi="Calibri" w:cs="Times New Roman"/>
          <w:b/>
          <w:sz w:val="28"/>
          <w:szCs w:val="28"/>
          <w:lang w:eastAsia="en-GB"/>
        </w:rPr>
        <w:t>Acknowledgements and Protocol contributories</w:t>
      </w:r>
    </w:p>
    <w:p w14:paraId="0FACDB48" w14:textId="77777777" w:rsidR="008B7233" w:rsidRPr="003C5180" w:rsidRDefault="008B7233" w:rsidP="008B7233">
      <w:pPr>
        <w:rPr>
          <w:lang w:eastAsia="en-GB"/>
        </w:rPr>
      </w:pPr>
      <w:r w:rsidRPr="003C5180">
        <w:rPr>
          <w:lang w:eastAsia="en-GB"/>
        </w:rPr>
        <w:t xml:space="preserve">This study was devised by </w:t>
      </w:r>
      <w:r w:rsidR="00637B97" w:rsidRPr="003C5180">
        <w:rPr>
          <w:lang w:eastAsia="en-GB"/>
        </w:rPr>
        <w:t xml:space="preserve">Anna Calvert and </w:t>
      </w:r>
      <w:r w:rsidRPr="003C5180">
        <w:rPr>
          <w:lang w:eastAsia="en-GB"/>
        </w:rPr>
        <w:t xml:space="preserve">Paul Heath and was developed by </w:t>
      </w:r>
      <w:r w:rsidR="00637B97" w:rsidRPr="003C5180">
        <w:rPr>
          <w:lang w:eastAsia="en-GB"/>
        </w:rPr>
        <w:t>Anna Calvert,</w:t>
      </w:r>
      <w:r w:rsidR="00637B97">
        <w:rPr>
          <w:lang w:eastAsia="en-GB"/>
        </w:rPr>
        <w:t xml:space="preserve"> </w:t>
      </w:r>
      <w:r w:rsidRPr="003C5180">
        <w:rPr>
          <w:lang w:eastAsia="en-GB"/>
        </w:rPr>
        <w:t>Paul Heath, Shamez Ladhani and Helen Findlow</w:t>
      </w:r>
      <w:r w:rsidR="00EE5AFF">
        <w:rPr>
          <w:lang w:eastAsia="en-GB"/>
        </w:rPr>
        <w:t xml:space="preserve">, </w:t>
      </w:r>
      <w:r w:rsidR="00EE5AFF">
        <w:t>and also incorporates comments and input from the prospective collaborating PIs</w:t>
      </w:r>
      <w:r w:rsidRPr="003C5180">
        <w:rPr>
          <w:lang w:eastAsia="en-GB"/>
        </w:rPr>
        <w:t xml:space="preserve">. Paul Heath is the grant holder. Nick Andrews provided statistical expertise in clinical trial design and will be conducting primary statistical analysis. All authors contributed to refinement of the study protocol and approved the final </w:t>
      </w:r>
      <w:r w:rsidR="00CF3E05">
        <w:rPr>
          <w:lang w:eastAsia="en-GB"/>
        </w:rPr>
        <w:t>version.</w:t>
      </w:r>
    </w:p>
    <w:p w14:paraId="75651313" w14:textId="77777777" w:rsidR="00541D9C" w:rsidRPr="003C5180" w:rsidRDefault="008B7233" w:rsidP="002A62E6">
      <w:pPr>
        <w:rPr>
          <w:b/>
          <w:sz w:val="28"/>
          <w:szCs w:val="28"/>
        </w:rPr>
      </w:pPr>
      <w:r w:rsidRPr="003C5180">
        <w:rPr>
          <w:lang w:eastAsia="en-GB"/>
        </w:rPr>
        <w:t>We are grateful for the funding from Meningitis Now and GlaxoSmithKline. These bodies have had no input into the design of this study and will have no role in data collection, management</w:t>
      </w:r>
      <w:r w:rsidR="00CF3E05">
        <w:rPr>
          <w:lang w:eastAsia="en-GB"/>
        </w:rPr>
        <w:t xml:space="preserve">, </w:t>
      </w:r>
      <w:r w:rsidRPr="003C5180">
        <w:rPr>
          <w:lang w:eastAsia="en-GB"/>
        </w:rPr>
        <w:t>analysis</w:t>
      </w:r>
      <w:r w:rsidR="00CF3E05">
        <w:rPr>
          <w:lang w:eastAsia="en-GB"/>
        </w:rPr>
        <w:t>, or interpretation of the findings</w:t>
      </w:r>
      <w:r w:rsidR="00327FD0">
        <w:rPr>
          <w:lang w:eastAsia="en-GB"/>
        </w:rPr>
        <w:t>.</w:t>
      </w:r>
      <w:r w:rsidRPr="003C5180">
        <w:rPr>
          <w:lang w:eastAsia="en-GB"/>
        </w:rPr>
        <w:t xml:space="preserve"> The preparation of the report will be done by the study authors and will be entirely independent of the funding organisations.</w:t>
      </w:r>
      <w:r w:rsidR="00B50EE7">
        <w:rPr>
          <w:lang w:eastAsia="en-GB"/>
        </w:rPr>
        <w:t xml:space="preserve"> The funding organisation</w:t>
      </w:r>
      <w:r w:rsidR="00983E69">
        <w:rPr>
          <w:lang w:eastAsia="en-GB"/>
        </w:rPr>
        <w:t>s</w:t>
      </w:r>
      <w:r w:rsidR="00B50EE7">
        <w:rPr>
          <w:lang w:eastAsia="en-GB"/>
        </w:rPr>
        <w:t xml:space="preserve"> will have no</w:t>
      </w:r>
      <w:r w:rsidR="00983E69">
        <w:rPr>
          <w:lang w:eastAsia="en-GB"/>
        </w:rPr>
        <w:t xml:space="preserve"> influence over the content of the final report submitted for publication, or the decision to submit.</w:t>
      </w:r>
      <w:r w:rsidR="00B2656A" w:rsidRPr="00327FD0">
        <w:rPr>
          <w:rFonts w:cs="Tahoma"/>
          <w:sz w:val="22"/>
          <w:szCs w:val="22"/>
        </w:rPr>
        <w:br w:type="page"/>
      </w:r>
      <w:r w:rsidR="00541D9C" w:rsidRPr="003C5180">
        <w:rPr>
          <w:rStyle w:val="Heading1Char"/>
          <w:rFonts w:ascii="Calibri" w:hAnsi="Calibri"/>
        </w:rPr>
        <w:lastRenderedPageBreak/>
        <w:t>Contents</w:t>
      </w:r>
    </w:p>
    <w:p w14:paraId="4199A967" w14:textId="77777777" w:rsidR="00990432" w:rsidRPr="00DC2B1D" w:rsidRDefault="00485A78" w:rsidP="00ED2F59">
      <w:pPr>
        <w:pStyle w:val="TOC1"/>
        <w:rPr>
          <w:noProof/>
          <w:sz w:val="22"/>
          <w:szCs w:val="22"/>
          <w:lang w:eastAsia="en-GB"/>
        </w:rPr>
      </w:pPr>
      <w:r w:rsidRPr="003C5180">
        <w:rPr>
          <w:rFonts w:cs="Tahoma"/>
          <w:sz w:val="22"/>
          <w:szCs w:val="22"/>
        </w:rPr>
        <w:fldChar w:fldCharType="begin"/>
      </w:r>
      <w:r w:rsidR="00541D9C" w:rsidRPr="003C5180">
        <w:rPr>
          <w:rFonts w:cs="Tahoma"/>
          <w:sz w:val="22"/>
          <w:szCs w:val="22"/>
        </w:rPr>
        <w:instrText xml:space="preserve"> TOC \o "1-3" \h \z \u </w:instrText>
      </w:r>
      <w:r w:rsidRPr="003C5180">
        <w:rPr>
          <w:rFonts w:cs="Tahoma"/>
          <w:sz w:val="22"/>
          <w:szCs w:val="22"/>
        </w:rPr>
        <w:fldChar w:fldCharType="separate"/>
      </w:r>
      <w:hyperlink w:anchor="_Toc470102454" w:history="1">
        <w:r w:rsidR="00990432" w:rsidRPr="00625C0A">
          <w:rPr>
            <w:rStyle w:val="Hyperlink"/>
            <w:noProof/>
          </w:rPr>
          <w:t>1.</w:t>
        </w:r>
        <w:r w:rsidR="00990432" w:rsidRPr="00DC2B1D">
          <w:rPr>
            <w:noProof/>
            <w:sz w:val="22"/>
            <w:szCs w:val="22"/>
            <w:lang w:eastAsia="en-GB"/>
          </w:rPr>
          <w:tab/>
        </w:r>
        <w:r w:rsidR="00990432" w:rsidRPr="00625C0A">
          <w:rPr>
            <w:rStyle w:val="Hyperlink"/>
            <w:noProof/>
          </w:rPr>
          <w:t>List of abbreviations</w:t>
        </w:r>
        <w:r w:rsidR="00990432">
          <w:rPr>
            <w:noProof/>
            <w:webHidden/>
          </w:rPr>
          <w:tab/>
        </w:r>
        <w:r>
          <w:rPr>
            <w:noProof/>
            <w:webHidden/>
          </w:rPr>
          <w:fldChar w:fldCharType="begin"/>
        </w:r>
        <w:r w:rsidR="00990432">
          <w:rPr>
            <w:noProof/>
            <w:webHidden/>
          </w:rPr>
          <w:instrText xml:space="preserve"> PAGEREF _Toc470102454 \h </w:instrText>
        </w:r>
        <w:r>
          <w:rPr>
            <w:noProof/>
            <w:webHidden/>
          </w:rPr>
        </w:r>
        <w:r>
          <w:rPr>
            <w:noProof/>
            <w:webHidden/>
          </w:rPr>
          <w:fldChar w:fldCharType="separate"/>
        </w:r>
        <w:r w:rsidR="00827938">
          <w:rPr>
            <w:noProof/>
            <w:webHidden/>
          </w:rPr>
          <w:t>5</w:t>
        </w:r>
        <w:r>
          <w:rPr>
            <w:noProof/>
            <w:webHidden/>
          </w:rPr>
          <w:fldChar w:fldCharType="end"/>
        </w:r>
      </w:hyperlink>
    </w:p>
    <w:p w14:paraId="3F04A4AB" w14:textId="77777777" w:rsidR="00990432" w:rsidRPr="00DC2B1D" w:rsidRDefault="00F917D9" w:rsidP="00ED2F59">
      <w:pPr>
        <w:pStyle w:val="TOC1"/>
        <w:rPr>
          <w:noProof/>
          <w:sz w:val="22"/>
          <w:szCs w:val="22"/>
          <w:lang w:eastAsia="en-GB"/>
        </w:rPr>
      </w:pPr>
      <w:hyperlink w:anchor="_Toc470102455" w:history="1">
        <w:r w:rsidR="00990432" w:rsidRPr="00625C0A">
          <w:rPr>
            <w:rStyle w:val="Hyperlink"/>
            <w:i/>
            <w:noProof/>
          </w:rPr>
          <w:t>3.</w:t>
        </w:r>
        <w:r w:rsidR="00990432" w:rsidRPr="00DC2B1D">
          <w:rPr>
            <w:noProof/>
            <w:sz w:val="22"/>
            <w:szCs w:val="22"/>
            <w:lang w:eastAsia="en-GB"/>
          </w:rPr>
          <w:tab/>
        </w:r>
        <w:r w:rsidR="00990432" w:rsidRPr="00625C0A">
          <w:rPr>
            <w:rStyle w:val="Hyperlink"/>
            <w:noProof/>
          </w:rPr>
          <w:t>Study synopsis</w:t>
        </w:r>
        <w:r w:rsidR="00990432">
          <w:rPr>
            <w:noProof/>
            <w:webHidden/>
          </w:rPr>
          <w:tab/>
        </w:r>
        <w:r w:rsidR="00485A78">
          <w:rPr>
            <w:noProof/>
            <w:webHidden/>
          </w:rPr>
          <w:fldChar w:fldCharType="begin"/>
        </w:r>
        <w:r w:rsidR="00990432">
          <w:rPr>
            <w:noProof/>
            <w:webHidden/>
          </w:rPr>
          <w:instrText xml:space="preserve"> PAGEREF _Toc470102455 \h </w:instrText>
        </w:r>
        <w:r w:rsidR="00485A78">
          <w:rPr>
            <w:noProof/>
            <w:webHidden/>
          </w:rPr>
        </w:r>
        <w:r w:rsidR="00485A78">
          <w:rPr>
            <w:noProof/>
            <w:webHidden/>
          </w:rPr>
          <w:fldChar w:fldCharType="separate"/>
        </w:r>
        <w:r w:rsidR="00827938">
          <w:rPr>
            <w:noProof/>
            <w:webHidden/>
          </w:rPr>
          <w:t>9</w:t>
        </w:r>
        <w:r w:rsidR="00485A78">
          <w:rPr>
            <w:noProof/>
            <w:webHidden/>
          </w:rPr>
          <w:fldChar w:fldCharType="end"/>
        </w:r>
      </w:hyperlink>
    </w:p>
    <w:p w14:paraId="302DFC34" w14:textId="77777777" w:rsidR="00990432" w:rsidRPr="00DC2B1D" w:rsidRDefault="00F917D9" w:rsidP="00ED2F59">
      <w:pPr>
        <w:pStyle w:val="TOC1"/>
        <w:rPr>
          <w:noProof/>
          <w:sz w:val="22"/>
          <w:szCs w:val="22"/>
          <w:lang w:eastAsia="en-GB"/>
        </w:rPr>
      </w:pPr>
      <w:hyperlink w:anchor="_Toc470102456" w:history="1">
        <w:r w:rsidR="00990432" w:rsidRPr="00625C0A">
          <w:rPr>
            <w:rStyle w:val="Hyperlink"/>
            <w:noProof/>
          </w:rPr>
          <w:t>4.</w:t>
        </w:r>
        <w:r w:rsidR="00990432" w:rsidRPr="00DC2B1D">
          <w:rPr>
            <w:noProof/>
            <w:sz w:val="22"/>
            <w:szCs w:val="22"/>
            <w:lang w:eastAsia="en-GB"/>
          </w:rPr>
          <w:tab/>
        </w:r>
        <w:r w:rsidR="00990432" w:rsidRPr="00625C0A">
          <w:rPr>
            <w:rStyle w:val="Hyperlink"/>
            <w:noProof/>
          </w:rPr>
          <w:t>Primary Objectives</w:t>
        </w:r>
        <w:r w:rsidR="00990432">
          <w:rPr>
            <w:noProof/>
            <w:webHidden/>
          </w:rPr>
          <w:tab/>
        </w:r>
        <w:r w:rsidR="00485A78">
          <w:rPr>
            <w:noProof/>
            <w:webHidden/>
          </w:rPr>
          <w:fldChar w:fldCharType="begin"/>
        </w:r>
        <w:r w:rsidR="00990432">
          <w:rPr>
            <w:noProof/>
            <w:webHidden/>
          </w:rPr>
          <w:instrText xml:space="preserve"> PAGEREF _Toc470102456 \h </w:instrText>
        </w:r>
        <w:r w:rsidR="00485A78">
          <w:rPr>
            <w:noProof/>
            <w:webHidden/>
          </w:rPr>
        </w:r>
        <w:r w:rsidR="00485A78">
          <w:rPr>
            <w:noProof/>
            <w:webHidden/>
          </w:rPr>
          <w:fldChar w:fldCharType="separate"/>
        </w:r>
        <w:r w:rsidR="00827938">
          <w:rPr>
            <w:noProof/>
            <w:webHidden/>
          </w:rPr>
          <w:t>11</w:t>
        </w:r>
        <w:r w:rsidR="00485A78">
          <w:rPr>
            <w:noProof/>
            <w:webHidden/>
          </w:rPr>
          <w:fldChar w:fldCharType="end"/>
        </w:r>
      </w:hyperlink>
    </w:p>
    <w:p w14:paraId="6F3126B0" w14:textId="77777777" w:rsidR="00990432" w:rsidRPr="00DC2B1D" w:rsidRDefault="00F917D9" w:rsidP="00ED2F59">
      <w:pPr>
        <w:pStyle w:val="TOC1"/>
        <w:rPr>
          <w:noProof/>
          <w:sz w:val="22"/>
          <w:szCs w:val="22"/>
          <w:lang w:eastAsia="en-GB"/>
        </w:rPr>
      </w:pPr>
      <w:hyperlink w:anchor="_Toc470102457" w:history="1">
        <w:r w:rsidR="00990432" w:rsidRPr="00625C0A">
          <w:rPr>
            <w:rStyle w:val="Hyperlink"/>
            <w:noProof/>
          </w:rPr>
          <w:t>5.</w:t>
        </w:r>
        <w:r w:rsidR="00990432" w:rsidRPr="00DC2B1D">
          <w:rPr>
            <w:noProof/>
            <w:sz w:val="22"/>
            <w:szCs w:val="22"/>
            <w:lang w:eastAsia="en-GB"/>
          </w:rPr>
          <w:tab/>
        </w:r>
        <w:r w:rsidR="00990432" w:rsidRPr="00625C0A">
          <w:rPr>
            <w:rStyle w:val="Hyperlink"/>
            <w:noProof/>
          </w:rPr>
          <w:t>Secondary Objectives</w:t>
        </w:r>
        <w:r w:rsidR="00990432">
          <w:rPr>
            <w:noProof/>
            <w:webHidden/>
          </w:rPr>
          <w:tab/>
        </w:r>
        <w:r w:rsidR="00485A78">
          <w:rPr>
            <w:noProof/>
            <w:webHidden/>
          </w:rPr>
          <w:fldChar w:fldCharType="begin"/>
        </w:r>
        <w:r w:rsidR="00990432">
          <w:rPr>
            <w:noProof/>
            <w:webHidden/>
          </w:rPr>
          <w:instrText xml:space="preserve"> PAGEREF _Toc470102457 \h </w:instrText>
        </w:r>
        <w:r w:rsidR="00485A78">
          <w:rPr>
            <w:noProof/>
            <w:webHidden/>
          </w:rPr>
        </w:r>
        <w:r w:rsidR="00485A78">
          <w:rPr>
            <w:noProof/>
            <w:webHidden/>
          </w:rPr>
          <w:fldChar w:fldCharType="separate"/>
        </w:r>
        <w:r w:rsidR="00827938">
          <w:rPr>
            <w:noProof/>
            <w:webHidden/>
          </w:rPr>
          <w:t>11</w:t>
        </w:r>
        <w:r w:rsidR="00485A78">
          <w:rPr>
            <w:noProof/>
            <w:webHidden/>
          </w:rPr>
          <w:fldChar w:fldCharType="end"/>
        </w:r>
      </w:hyperlink>
    </w:p>
    <w:p w14:paraId="4BA618EF" w14:textId="77777777" w:rsidR="00990432" w:rsidRPr="00DC2B1D" w:rsidRDefault="00F917D9" w:rsidP="00ED2F59">
      <w:pPr>
        <w:pStyle w:val="TOC1"/>
        <w:rPr>
          <w:noProof/>
          <w:sz w:val="22"/>
          <w:szCs w:val="22"/>
          <w:lang w:eastAsia="en-GB"/>
        </w:rPr>
      </w:pPr>
      <w:hyperlink w:anchor="_Toc470102458" w:history="1">
        <w:r w:rsidR="00990432" w:rsidRPr="00625C0A">
          <w:rPr>
            <w:rStyle w:val="Hyperlink"/>
            <w:noProof/>
          </w:rPr>
          <w:t>6.</w:t>
        </w:r>
        <w:r w:rsidR="00990432" w:rsidRPr="00DC2B1D">
          <w:rPr>
            <w:noProof/>
            <w:sz w:val="22"/>
            <w:szCs w:val="22"/>
            <w:lang w:eastAsia="en-GB"/>
          </w:rPr>
          <w:tab/>
        </w:r>
        <w:r w:rsidR="00990432" w:rsidRPr="00625C0A">
          <w:rPr>
            <w:rStyle w:val="Hyperlink"/>
            <w:noProof/>
          </w:rPr>
          <w:t>Background</w:t>
        </w:r>
        <w:r w:rsidR="00990432">
          <w:rPr>
            <w:noProof/>
            <w:webHidden/>
          </w:rPr>
          <w:tab/>
        </w:r>
        <w:r w:rsidR="00485A78">
          <w:rPr>
            <w:noProof/>
            <w:webHidden/>
          </w:rPr>
          <w:fldChar w:fldCharType="begin"/>
        </w:r>
        <w:r w:rsidR="00990432">
          <w:rPr>
            <w:noProof/>
            <w:webHidden/>
          </w:rPr>
          <w:instrText xml:space="preserve"> PAGEREF _Toc470102458 \h </w:instrText>
        </w:r>
        <w:r w:rsidR="00485A78">
          <w:rPr>
            <w:noProof/>
            <w:webHidden/>
          </w:rPr>
        </w:r>
        <w:r w:rsidR="00485A78">
          <w:rPr>
            <w:noProof/>
            <w:webHidden/>
          </w:rPr>
          <w:fldChar w:fldCharType="separate"/>
        </w:r>
        <w:r w:rsidR="00827938">
          <w:rPr>
            <w:noProof/>
            <w:webHidden/>
          </w:rPr>
          <w:t>11</w:t>
        </w:r>
        <w:r w:rsidR="00485A78">
          <w:rPr>
            <w:noProof/>
            <w:webHidden/>
          </w:rPr>
          <w:fldChar w:fldCharType="end"/>
        </w:r>
      </w:hyperlink>
    </w:p>
    <w:p w14:paraId="3E17715A" w14:textId="77777777" w:rsidR="00990432" w:rsidRPr="00DC2B1D" w:rsidRDefault="00F917D9" w:rsidP="00ED2F59">
      <w:pPr>
        <w:pStyle w:val="TOC1"/>
        <w:rPr>
          <w:noProof/>
          <w:sz w:val="22"/>
          <w:szCs w:val="22"/>
          <w:lang w:eastAsia="en-GB"/>
        </w:rPr>
      </w:pPr>
      <w:hyperlink w:anchor="_Toc470102459" w:history="1">
        <w:r w:rsidR="00990432" w:rsidRPr="00625C0A">
          <w:rPr>
            <w:rStyle w:val="Hyperlink"/>
            <w:noProof/>
          </w:rPr>
          <w:t>Study disease</w:t>
        </w:r>
        <w:r w:rsidR="00990432">
          <w:rPr>
            <w:noProof/>
            <w:webHidden/>
          </w:rPr>
          <w:tab/>
        </w:r>
        <w:r w:rsidR="00485A78">
          <w:rPr>
            <w:noProof/>
            <w:webHidden/>
          </w:rPr>
          <w:fldChar w:fldCharType="begin"/>
        </w:r>
        <w:r w:rsidR="00990432">
          <w:rPr>
            <w:noProof/>
            <w:webHidden/>
          </w:rPr>
          <w:instrText xml:space="preserve"> PAGEREF _Toc470102459 \h </w:instrText>
        </w:r>
        <w:r w:rsidR="00485A78">
          <w:rPr>
            <w:noProof/>
            <w:webHidden/>
          </w:rPr>
        </w:r>
        <w:r w:rsidR="00485A78">
          <w:rPr>
            <w:noProof/>
            <w:webHidden/>
          </w:rPr>
          <w:fldChar w:fldCharType="separate"/>
        </w:r>
        <w:r w:rsidR="00827938">
          <w:rPr>
            <w:noProof/>
            <w:webHidden/>
          </w:rPr>
          <w:t>11</w:t>
        </w:r>
        <w:r w:rsidR="00485A78">
          <w:rPr>
            <w:noProof/>
            <w:webHidden/>
          </w:rPr>
          <w:fldChar w:fldCharType="end"/>
        </w:r>
      </w:hyperlink>
    </w:p>
    <w:p w14:paraId="24644C15" w14:textId="77777777" w:rsidR="00990432" w:rsidRPr="00DC2B1D" w:rsidRDefault="00F917D9">
      <w:pPr>
        <w:pStyle w:val="TOC2"/>
        <w:tabs>
          <w:tab w:val="right" w:leader="dot" w:pos="9016"/>
        </w:tabs>
        <w:rPr>
          <w:noProof/>
          <w:sz w:val="22"/>
          <w:szCs w:val="22"/>
          <w:lang w:eastAsia="en-GB"/>
        </w:rPr>
      </w:pPr>
      <w:hyperlink w:anchor="_Toc470102460" w:history="1">
        <w:r w:rsidR="00990432" w:rsidRPr="00625C0A">
          <w:rPr>
            <w:rStyle w:val="Hyperlink"/>
            <w:noProof/>
          </w:rPr>
          <w:t>Non-investigational Medicinal Products (NIMPs)</w:t>
        </w:r>
        <w:r w:rsidR="00990432">
          <w:rPr>
            <w:noProof/>
            <w:webHidden/>
          </w:rPr>
          <w:tab/>
        </w:r>
        <w:r w:rsidR="00485A78">
          <w:rPr>
            <w:noProof/>
            <w:webHidden/>
          </w:rPr>
          <w:fldChar w:fldCharType="begin"/>
        </w:r>
        <w:r w:rsidR="00990432">
          <w:rPr>
            <w:noProof/>
            <w:webHidden/>
          </w:rPr>
          <w:instrText xml:space="preserve"> PAGEREF _Toc470102460 \h </w:instrText>
        </w:r>
        <w:r w:rsidR="00485A78">
          <w:rPr>
            <w:noProof/>
            <w:webHidden/>
          </w:rPr>
        </w:r>
        <w:r w:rsidR="00485A78">
          <w:rPr>
            <w:noProof/>
            <w:webHidden/>
          </w:rPr>
          <w:fldChar w:fldCharType="separate"/>
        </w:r>
        <w:r w:rsidR="00827938">
          <w:rPr>
            <w:noProof/>
            <w:webHidden/>
          </w:rPr>
          <w:t>12</w:t>
        </w:r>
        <w:r w:rsidR="00485A78">
          <w:rPr>
            <w:noProof/>
            <w:webHidden/>
          </w:rPr>
          <w:fldChar w:fldCharType="end"/>
        </w:r>
      </w:hyperlink>
    </w:p>
    <w:p w14:paraId="36C798EC" w14:textId="77777777" w:rsidR="00990432" w:rsidRPr="00DC2B1D" w:rsidRDefault="00F917D9">
      <w:pPr>
        <w:pStyle w:val="TOC2"/>
        <w:tabs>
          <w:tab w:val="right" w:leader="dot" w:pos="9016"/>
        </w:tabs>
        <w:rPr>
          <w:noProof/>
          <w:sz w:val="22"/>
          <w:szCs w:val="22"/>
          <w:lang w:eastAsia="en-GB"/>
        </w:rPr>
      </w:pPr>
      <w:hyperlink w:anchor="_Toc470102461" w:history="1">
        <w:r w:rsidR="00990432" w:rsidRPr="00625C0A">
          <w:rPr>
            <w:rStyle w:val="Hyperlink"/>
            <w:rFonts w:cs="Tahoma"/>
            <w:noProof/>
          </w:rPr>
          <w:t>Study Rationale and risk/benefit analysis</w:t>
        </w:r>
        <w:r w:rsidR="00990432">
          <w:rPr>
            <w:noProof/>
            <w:webHidden/>
          </w:rPr>
          <w:tab/>
        </w:r>
        <w:r w:rsidR="00485A78">
          <w:rPr>
            <w:noProof/>
            <w:webHidden/>
          </w:rPr>
          <w:fldChar w:fldCharType="begin"/>
        </w:r>
        <w:r w:rsidR="00990432">
          <w:rPr>
            <w:noProof/>
            <w:webHidden/>
          </w:rPr>
          <w:instrText xml:space="preserve"> PAGEREF _Toc470102461 \h </w:instrText>
        </w:r>
        <w:r w:rsidR="00485A78">
          <w:rPr>
            <w:noProof/>
            <w:webHidden/>
          </w:rPr>
        </w:r>
        <w:r w:rsidR="00485A78">
          <w:rPr>
            <w:noProof/>
            <w:webHidden/>
          </w:rPr>
          <w:fldChar w:fldCharType="separate"/>
        </w:r>
        <w:r w:rsidR="00827938">
          <w:rPr>
            <w:noProof/>
            <w:webHidden/>
          </w:rPr>
          <w:t>13</w:t>
        </w:r>
        <w:r w:rsidR="00485A78">
          <w:rPr>
            <w:noProof/>
            <w:webHidden/>
          </w:rPr>
          <w:fldChar w:fldCharType="end"/>
        </w:r>
      </w:hyperlink>
    </w:p>
    <w:p w14:paraId="224260AA" w14:textId="77777777" w:rsidR="00990432" w:rsidRPr="00DC2B1D" w:rsidRDefault="00F917D9" w:rsidP="00ED2F59">
      <w:pPr>
        <w:pStyle w:val="TOC1"/>
        <w:rPr>
          <w:noProof/>
          <w:sz w:val="22"/>
          <w:szCs w:val="22"/>
          <w:lang w:eastAsia="en-GB"/>
        </w:rPr>
      </w:pPr>
      <w:hyperlink w:anchor="_Toc470102462" w:history="1">
        <w:r w:rsidR="00990432" w:rsidRPr="00625C0A">
          <w:rPr>
            <w:rStyle w:val="Hyperlink"/>
            <w:noProof/>
          </w:rPr>
          <w:t>7.</w:t>
        </w:r>
        <w:r w:rsidR="00990432" w:rsidRPr="00DC2B1D">
          <w:rPr>
            <w:noProof/>
            <w:sz w:val="22"/>
            <w:szCs w:val="22"/>
            <w:lang w:eastAsia="en-GB"/>
          </w:rPr>
          <w:tab/>
        </w:r>
        <w:r w:rsidR="00990432" w:rsidRPr="00625C0A">
          <w:rPr>
            <w:rStyle w:val="Hyperlink"/>
            <w:noProof/>
          </w:rPr>
          <w:t>Trial design</w:t>
        </w:r>
        <w:r w:rsidR="00990432">
          <w:rPr>
            <w:noProof/>
            <w:webHidden/>
          </w:rPr>
          <w:tab/>
        </w:r>
        <w:r w:rsidR="00485A78">
          <w:rPr>
            <w:noProof/>
            <w:webHidden/>
          </w:rPr>
          <w:fldChar w:fldCharType="begin"/>
        </w:r>
        <w:r w:rsidR="00990432">
          <w:rPr>
            <w:noProof/>
            <w:webHidden/>
          </w:rPr>
          <w:instrText xml:space="preserve"> PAGEREF _Toc470102462 \h </w:instrText>
        </w:r>
        <w:r w:rsidR="00485A78">
          <w:rPr>
            <w:noProof/>
            <w:webHidden/>
          </w:rPr>
        </w:r>
        <w:r w:rsidR="00485A78">
          <w:rPr>
            <w:noProof/>
            <w:webHidden/>
          </w:rPr>
          <w:fldChar w:fldCharType="separate"/>
        </w:r>
        <w:r w:rsidR="00827938">
          <w:rPr>
            <w:noProof/>
            <w:webHidden/>
          </w:rPr>
          <w:t>14</w:t>
        </w:r>
        <w:r w:rsidR="00485A78">
          <w:rPr>
            <w:noProof/>
            <w:webHidden/>
          </w:rPr>
          <w:fldChar w:fldCharType="end"/>
        </w:r>
      </w:hyperlink>
    </w:p>
    <w:p w14:paraId="678325CF" w14:textId="77777777" w:rsidR="00990432" w:rsidRPr="00DC2B1D" w:rsidRDefault="00F917D9">
      <w:pPr>
        <w:pStyle w:val="TOC2"/>
        <w:tabs>
          <w:tab w:val="left" w:pos="880"/>
          <w:tab w:val="right" w:leader="dot" w:pos="9016"/>
        </w:tabs>
        <w:rPr>
          <w:noProof/>
          <w:sz w:val="22"/>
          <w:szCs w:val="22"/>
          <w:lang w:eastAsia="en-GB"/>
        </w:rPr>
      </w:pPr>
      <w:hyperlink w:anchor="_Toc470102463" w:history="1">
        <w:r w:rsidR="00990432" w:rsidRPr="00625C0A">
          <w:rPr>
            <w:rStyle w:val="Hyperlink"/>
            <w:rFonts w:cs="Tahoma"/>
            <w:noProof/>
            <w:lang w:eastAsia="en-GB"/>
          </w:rPr>
          <w:t>7.1</w:t>
        </w:r>
        <w:r w:rsidR="00990432" w:rsidRPr="00DC2B1D">
          <w:rPr>
            <w:noProof/>
            <w:sz w:val="22"/>
            <w:szCs w:val="22"/>
            <w:lang w:eastAsia="en-GB"/>
          </w:rPr>
          <w:tab/>
        </w:r>
        <w:r w:rsidR="00990432" w:rsidRPr="00625C0A">
          <w:rPr>
            <w:rStyle w:val="Hyperlink"/>
            <w:rFonts w:cs="Tahoma"/>
            <w:noProof/>
            <w:lang w:eastAsia="en-GB"/>
          </w:rPr>
          <w:t>Overall design</w:t>
        </w:r>
        <w:r w:rsidR="00990432">
          <w:rPr>
            <w:noProof/>
            <w:webHidden/>
          </w:rPr>
          <w:tab/>
        </w:r>
        <w:r w:rsidR="00485A78">
          <w:rPr>
            <w:noProof/>
            <w:webHidden/>
          </w:rPr>
          <w:fldChar w:fldCharType="begin"/>
        </w:r>
        <w:r w:rsidR="00990432">
          <w:rPr>
            <w:noProof/>
            <w:webHidden/>
          </w:rPr>
          <w:instrText xml:space="preserve"> PAGEREF _Toc470102463 \h </w:instrText>
        </w:r>
        <w:r w:rsidR="00485A78">
          <w:rPr>
            <w:noProof/>
            <w:webHidden/>
          </w:rPr>
        </w:r>
        <w:r w:rsidR="00485A78">
          <w:rPr>
            <w:noProof/>
            <w:webHidden/>
          </w:rPr>
          <w:fldChar w:fldCharType="separate"/>
        </w:r>
        <w:r w:rsidR="00827938">
          <w:rPr>
            <w:noProof/>
            <w:webHidden/>
          </w:rPr>
          <w:t>14</w:t>
        </w:r>
        <w:r w:rsidR="00485A78">
          <w:rPr>
            <w:noProof/>
            <w:webHidden/>
          </w:rPr>
          <w:fldChar w:fldCharType="end"/>
        </w:r>
      </w:hyperlink>
    </w:p>
    <w:p w14:paraId="2D4E5E0D" w14:textId="77777777" w:rsidR="00990432" w:rsidRPr="00DC2B1D" w:rsidRDefault="00F917D9">
      <w:pPr>
        <w:pStyle w:val="TOC2"/>
        <w:tabs>
          <w:tab w:val="left" w:pos="880"/>
          <w:tab w:val="right" w:leader="dot" w:pos="9016"/>
        </w:tabs>
        <w:rPr>
          <w:noProof/>
          <w:sz w:val="22"/>
          <w:szCs w:val="22"/>
          <w:lang w:eastAsia="en-GB"/>
        </w:rPr>
      </w:pPr>
      <w:hyperlink w:anchor="_Toc470102464" w:history="1">
        <w:r w:rsidR="00990432" w:rsidRPr="00625C0A">
          <w:rPr>
            <w:rStyle w:val="Hyperlink"/>
            <w:rFonts w:cs="Tahoma"/>
            <w:noProof/>
            <w:lang w:eastAsia="en-GB"/>
          </w:rPr>
          <w:t>7.2</w:t>
        </w:r>
        <w:r w:rsidR="00990432" w:rsidRPr="00DC2B1D">
          <w:rPr>
            <w:noProof/>
            <w:sz w:val="22"/>
            <w:szCs w:val="22"/>
            <w:lang w:eastAsia="en-GB"/>
          </w:rPr>
          <w:tab/>
        </w:r>
        <w:r w:rsidR="00990432" w:rsidRPr="00625C0A">
          <w:rPr>
            <w:rStyle w:val="Hyperlink"/>
            <w:rFonts w:cs="Tahoma"/>
            <w:noProof/>
            <w:lang w:eastAsia="en-GB"/>
          </w:rPr>
          <w:t>Schematic of trial design</w:t>
        </w:r>
        <w:r w:rsidR="00990432">
          <w:rPr>
            <w:noProof/>
            <w:webHidden/>
          </w:rPr>
          <w:tab/>
        </w:r>
        <w:r w:rsidR="00485A78">
          <w:rPr>
            <w:noProof/>
            <w:webHidden/>
          </w:rPr>
          <w:fldChar w:fldCharType="begin"/>
        </w:r>
        <w:r w:rsidR="00990432">
          <w:rPr>
            <w:noProof/>
            <w:webHidden/>
          </w:rPr>
          <w:instrText xml:space="preserve"> PAGEREF _Toc470102464 \h </w:instrText>
        </w:r>
        <w:r w:rsidR="00485A78">
          <w:rPr>
            <w:noProof/>
            <w:webHidden/>
          </w:rPr>
        </w:r>
        <w:r w:rsidR="00485A78">
          <w:rPr>
            <w:noProof/>
            <w:webHidden/>
          </w:rPr>
          <w:fldChar w:fldCharType="separate"/>
        </w:r>
        <w:r w:rsidR="00827938">
          <w:rPr>
            <w:noProof/>
            <w:webHidden/>
          </w:rPr>
          <w:t>16</w:t>
        </w:r>
        <w:r w:rsidR="00485A78">
          <w:rPr>
            <w:noProof/>
            <w:webHidden/>
          </w:rPr>
          <w:fldChar w:fldCharType="end"/>
        </w:r>
      </w:hyperlink>
    </w:p>
    <w:p w14:paraId="327AE91F" w14:textId="77777777" w:rsidR="00990432" w:rsidRPr="00DC2B1D" w:rsidRDefault="00F917D9" w:rsidP="00ED2F59">
      <w:pPr>
        <w:pStyle w:val="TOC1"/>
        <w:rPr>
          <w:noProof/>
          <w:sz w:val="22"/>
          <w:szCs w:val="22"/>
          <w:lang w:eastAsia="en-GB"/>
        </w:rPr>
      </w:pPr>
      <w:hyperlink w:anchor="_Toc470102465" w:history="1">
        <w:r w:rsidR="00990432" w:rsidRPr="00625C0A">
          <w:rPr>
            <w:rStyle w:val="Hyperlink"/>
            <w:noProof/>
          </w:rPr>
          <w:t>8.</w:t>
        </w:r>
        <w:r w:rsidR="00990432" w:rsidRPr="00DC2B1D">
          <w:rPr>
            <w:noProof/>
            <w:sz w:val="22"/>
            <w:szCs w:val="22"/>
            <w:lang w:eastAsia="en-GB"/>
          </w:rPr>
          <w:tab/>
        </w:r>
        <w:r w:rsidR="00990432" w:rsidRPr="00625C0A">
          <w:rPr>
            <w:rStyle w:val="Hyperlink"/>
            <w:noProof/>
          </w:rPr>
          <w:t>IMP Dosage regimen and rationale</w:t>
        </w:r>
        <w:r w:rsidR="00990432">
          <w:rPr>
            <w:noProof/>
            <w:webHidden/>
          </w:rPr>
          <w:tab/>
        </w:r>
        <w:r w:rsidR="00485A78">
          <w:rPr>
            <w:noProof/>
            <w:webHidden/>
          </w:rPr>
          <w:fldChar w:fldCharType="begin"/>
        </w:r>
        <w:r w:rsidR="00990432">
          <w:rPr>
            <w:noProof/>
            <w:webHidden/>
          </w:rPr>
          <w:instrText xml:space="preserve"> PAGEREF _Toc470102465 \h </w:instrText>
        </w:r>
        <w:r w:rsidR="00485A78">
          <w:rPr>
            <w:noProof/>
            <w:webHidden/>
          </w:rPr>
        </w:r>
        <w:r w:rsidR="00485A78">
          <w:rPr>
            <w:noProof/>
            <w:webHidden/>
          </w:rPr>
          <w:fldChar w:fldCharType="separate"/>
        </w:r>
        <w:r w:rsidR="00827938">
          <w:rPr>
            <w:noProof/>
            <w:webHidden/>
          </w:rPr>
          <w:t>17</w:t>
        </w:r>
        <w:r w:rsidR="00485A78">
          <w:rPr>
            <w:noProof/>
            <w:webHidden/>
          </w:rPr>
          <w:fldChar w:fldCharType="end"/>
        </w:r>
      </w:hyperlink>
    </w:p>
    <w:p w14:paraId="304E2048" w14:textId="77777777" w:rsidR="00990432" w:rsidRPr="00DC2B1D" w:rsidRDefault="00F917D9">
      <w:pPr>
        <w:pStyle w:val="TOC2"/>
        <w:tabs>
          <w:tab w:val="left" w:pos="880"/>
          <w:tab w:val="right" w:leader="dot" w:pos="9016"/>
        </w:tabs>
        <w:rPr>
          <w:noProof/>
          <w:sz w:val="22"/>
          <w:szCs w:val="22"/>
          <w:lang w:eastAsia="en-GB"/>
        </w:rPr>
      </w:pPr>
      <w:hyperlink w:anchor="_Toc470102466" w:history="1">
        <w:r w:rsidR="00990432" w:rsidRPr="00625C0A">
          <w:rPr>
            <w:rStyle w:val="Hyperlink"/>
            <w:noProof/>
          </w:rPr>
          <w:t>8.1</w:t>
        </w:r>
        <w:r w:rsidR="00990432" w:rsidRPr="00DC2B1D">
          <w:rPr>
            <w:noProof/>
            <w:sz w:val="22"/>
            <w:szCs w:val="22"/>
            <w:lang w:eastAsia="en-GB"/>
          </w:rPr>
          <w:tab/>
        </w:r>
        <w:r w:rsidR="00990432" w:rsidRPr="00625C0A">
          <w:rPr>
            <w:rStyle w:val="Hyperlink"/>
            <w:noProof/>
          </w:rPr>
          <w:t>Source of IMP and NIMPs</w:t>
        </w:r>
        <w:r w:rsidR="00990432">
          <w:rPr>
            <w:noProof/>
            <w:webHidden/>
          </w:rPr>
          <w:tab/>
        </w:r>
        <w:r w:rsidR="00485A78">
          <w:rPr>
            <w:noProof/>
            <w:webHidden/>
          </w:rPr>
          <w:fldChar w:fldCharType="begin"/>
        </w:r>
        <w:r w:rsidR="00990432">
          <w:rPr>
            <w:noProof/>
            <w:webHidden/>
          </w:rPr>
          <w:instrText xml:space="preserve"> PAGEREF _Toc470102466 \h </w:instrText>
        </w:r>
        <w:r w:rsidR="00485A78">
          <w:rPr>
            <w:noProof/>
            <w:webHidden/>
          </w:rPr>
        </w:r>
        <w:r w:rsidR="00485A78">
          <w:rPr>
            <w:noProof/>
            <w:webHidden/>
          </w:rPr>
          <w:fldChar w:fldCharType="separate"/>
        </w:r>
        <w:r w:rsidR="00827938">
          <w:rPr>
            <w:noProof/>
            <w:webHidden/>
          </w:rPr>
          <w:t>17</w:t>
        </w:r>
        <w:r w:rsidR="00485A78">
          <w:rPr>
            <w:noProof/>
            <w:webHidden/>
          </w:rPr>
          <w:fldChar w:fldCharType="end"/>
        </w:r>
      </w:hyperlink>
    </w:p>
    <w:p w14:paraId="403931B7" w14:textId="77777777" w:rsidR="00990432" w:rsidRPr="00DC2B1D" w:rsidRDefault="00F917D9">
      <w:pPr>
        <w:pStyle w:val="TOC2"/>
        <w:tabs>
          <w:tab w:val="right" w:leader="dot" w:pos="9016"/>
        </w:tabs>
        <w:rPr>
          <w:noProof/>
          <w:sz w:val="22"/>
          <w:szCs w:val="22"/>
          <w:lang w:eastAsia="en-GB"/>
        </w:rPr>
      </w:pPr>
      <w:hyperlink w:anchor="_Toc470102467" w:history="1">
        <w:r w:rsidR="00990432" w:rsidRPr="00625C0A">
          <w:rPr>
            <w:rStyle w:val="Hyperlink"/>
            <w:noProof/>
          </w:rPr>
          <w:t>8.2 Accountability procedures for the IMP</w:t>
        </w:r>
        <w:r w:rsidR="00990432">
          <w:rPr>
            <w:noProof/>
            <w:webHidden/>
          </w:rPr>
          <w:tab/>
        </w:r>
        <w:r w:rsidR="00485A78">
          <w:rPr>
            <w:noProof/>
            <w:webHidden/>
          </w:rPr>
          <w:fldChar w:fldCharType="begin"/>
        </w:r>
        <w:r w:rsidR="00990432">
          <w:rPr>
            <w:noProof/>
            <w:webHidden/>
          </w:rPr>
          <w:instrText xml:space="preserve"> PAGEREF _Toc470102467 \h </w:instrText>
        </w:r>
        <w:r w:rsidR="00485A78">
          <w:rPr>
            <w:noProof/>
            <w:webHidden/>
          </w:rPr>
        </w:r>
        <w:r w:rsidR="00485A78">
          <w:rPr>
            <w:noProof/>
            <w:webHidden/>
          </w:rPr>
          <w:fldChar w:fldCharType="separate"/>
        </w:r>
        <w:r w:rsidR="00827938">
          <w:rPr>
            <w:noProof/>
            <w:webHidden/>
          </w:rPr>
          <w:t>17</w:t>
        </w:r>
        <w:r w:rsidR="00485A78">
          <w:rPr>
            <w:noProof/>
            <w:webHidden/>
          </w:rPr>
          <w:fldChar w:fldCharType="end"/>
        </w:r>
      </w:hyperlink>
    </w:p>
    <w:p w14:paraId="6D34FEDD" w14:textId="77777777" w:rsidR="00990432" w:rsidRPr="00DC2B1D" w:rsidRDefault="00F917D9">
      <w:pPr>
        <w:pStyle w:val="TOC2"/>
        <w:tabs>
          <w:tab w:val="left" w:pos="880"/>
          <w:tab w:val="right" w:leader="dot" w:pos="9016"/>
        </w:tabs>
        <w:rPr>
          <w:noProof/>
          <w:sz w:val="22"/>
          <w:szCs w:val="22"/>
          <w:lang w:eastAsia="en-GB"/>
        </w:rPr>
      </w:pPr>
      <w:hyperlink w:anchor="_Toc470102468" w:history="1">
        <w:r w:rsidR="00990432" w:rsidRPr="00625C0A">
          <w:rPr>
            <w:rStyle w:val="Hyperlink"/>
            <w:noProof/>
          </w:rPr>
          <w:t>8.3</w:t>
        </w:r>
        <w:r w:rsidR="00990432" w:rsidRPr="00DC2B1D">
          <w:rPr>
            <w:noProof/>
            <w:sz w:val="22"/>
            <w:szCs w:val="22"/>
            <w:lang w:eastAsia="en-GB"/>
          </w:rPr>
          <w:tab/>
        </w:r>
        <w:r w:rsidR="00990432" w:rsidRPr="00625C0A">
          <w:rPr>
            <w:rStyle w:val="Hyperlink"/>
            <w:noProof/>
          </w:rPr>
          <w:t>Post-trial IMP arrangements</w:t>
        </w:r>
        <w:r w:rsidR="00990432">
          <w:rPr>
            <w:noProof/>
            <w:webHidden/>
          </w:rPr>
          <w:tab/>
        </w:r>
        <w:r w:rsidR="00485A78">
          <w:rPr>
            <w:noProof/>
            <w:webHidden/>
          </w:rPr>
          <w:fldChar w:fldCharType="begin"/>
        </w:r>
        <w:r w:rsidR="00990432">
          <w:rPr>
            <w:noProof/>
            <w:webHidden/>
          </w:rPr>
          <w:instrText xml:space="preserve"> PAGEREF _Toc470102468 \h </w:instrText>
        </w:r>
        <w:r w:rsidR="00485A78">
          <w:rPr>
            <w:noProof/>
            <w:webHidden/>
          </w:rPr>
        </w:r>
        <w:r w:rsidR="00485A78">
          <w:rPr>
            <w:noProof/>
            <w:webHidden/>
          </w:rPr>
          <w:fldChar w:fldCharType="separate"/>
        </w:r>
        <w:r w:rsidR="00827938">
          <w:rPr>
            <w:noProof/>
            <w:webHidden/>
          </w:rPr>
          <w:t>17</w:t>
        </w:r>
        <w:r w:rsidR="00485A78">
          <w:rPr>
            <w:noProof/>
            <w:webHidden/>
          </w:rPr>
          <w:fldChar w:fldCharType="end"/>
        </w:r>
      </w:hyperlink>
    </w:p>
    <w:p w14:paraId="252245C5" w14:textId="77777777" w:rsidR="00990432" w:rsidRPr="00DC2B1D" w:rsidRDefault="00F917D9">
      <w:pPr>
        <w:pStyle w:val="TOC2"/>
        <w:tabs>
          <w:tab w:val="left" w:pos="880"/>
          <w:tab w:val="right" w:leader="dot" w:pos="9016"/>
        </w:tabs>
        <w:rPr>
          <w:noProof/>
          <w:sz w:val="22"/>
          <w:szCs w:val="22"/>
          <w:lang w:eastAsia="en-GB"/>
        </w:rPr>
      </w:pPr>
      <w:hyperlink w:anchor="_Toc470102469" w:history="1">
        <w:r w:rsidR="00990432" w:rsidRPr="00625C0A">
          <w:rPr>
            <w:rStyle w:val="Hyperlink"/>
            <w:noProof/>
          </w:rPr>
          <w:t>8.4</w:t>
        </w:r>
        <w:r w:rsidR="00990432" w:rsidRPr="00DC2B1D">
          <w:rPr>
            <w:noProof/>
            <w:sz w:val="22"/>
            <w:szCs w:val="22"/>
            <w:lang w:eastAsia="en-GB"/>
          </w:rPr>
          <w:tab/>
        </w:r>
        <w:r w:rsidR="00990432" w:rsidRPr="00625C0A">
          <w:rPr>
            <w:rStyle w:val="Hyperlink"/>
            <w:noProof/>
          </w:rPr>
          <w:t>Name and description of each non-IMP (NIMP)</w:t>
        </w:r>
        <w:r w:rsidR="00990432">
          <w:rPr>
            <w:noProof/>
            <w:webHidden/>
          </w:rPr>
          <w:tab/>
        </w:r>
        <w:r w:rsidR="00485A78">
          <w:rPr>
            <w:noProof/>
            <w:webHidden/>
          </w:rPr>
          <w:fldChar w:fldCharType="begin"/>
        </w:r>
        <w:r w:rsidR="00990432">
          <w:rPr>
            <w:noProof/>
            <w:webHidden/>
          </w:rPr>
          <w:instrText xml:space="preserve"> PAGEREF _Toc470102469 \h </w:instrText>
        </w:r>
        <w:r w:rsidR="00485A78">
          <w:rPr>
            <w:noProof/>
            <w:webHidden/>
          </w:rPr>
        </w:r>
        <w:r w:rsidR="00485A78">
          <w:rPr>
            <w:noProof/>
            <w:webHidden/>
          </w:rPr>
          <w:fldChar w:fldCharType="separate"/>
        </w:r>
        <w:r w:rsidR="00827938">
          <w:rPr>
            <w:noProof/>
            <w:webHidden/>
          </w:rPr>
          <w:t>17</w:t>
        </w:r>
        <w:r w:rsidR="00485A78">
          <w:rPr>
            <w:noProof/>
            <w:webHidden/>
          </w:rPr>
          <w:fldChar w:fldCharType="end"/>
        </w:r>
      </w:hyperlink>
    </w:p>
    <w:p w14:paraId="2EDB562F" w14:textId="77777777" w:rsidR="00990432" w:rsidRPr="00DC2B1D" w:rsidRDefault="00F917D9">
      <w:pPr>
        <w:pStyle w:val="TOC2"/>
        <w:tabs>
          <w:tab w:val="left" w:pos="880"/>
          <w:tab w:val="right" w:leader="dot" w:pos="9016"/>
        </w:tabs>
        <w:rPr>
          <w:noProof/>
          <w:sz w:val="22"/>
          <w:szCs w:val="22"/>
          <w:lang w:eastAsia="en-GB"/>
        </w:rPr>
      </w:pPr>
      <w:hyperlink w:anchor="_Toc470102470" w:history="1">
        <w:r w:rsidR="00990432" w:rsidRPr="00625C0A">
          <w:rPr>
            <w:rStyle w:val="Hyperlink"/>
            <w:noProof/>
          </w:rPr>
          <w:t>8.5</w:t>
        </w:r>
        <w:r w:rsidR="00990432" w:rsidRPr="00DC2B1D">
          <w:rPr>
            <w:noProof/>
            <w:sz w:val="22"/>
            <w:szCs w:val="22"/>
            <w:lang w:eastAsia="en-GB"/>
          </w:rPr>
          <w:tab/>
        </w:r>
        <w:r w:rsidR="00990432" w:rsidRPr="00625C0A">
          <w:rPr>
            <w:rStyle w:val="Hyperlink"/>
            <w:noProof/>
          </w:rPr>
          <w:t>Concomitant treatment</w:t>
        </w:r>
        <w:r w:rsidR="00990432">
          <w:rPr>
            <w:noProof/>
            <w:webHidden/>
          </w:rPr>
          <w:tab/>
        </w:r>
        <w:r w:rsidR="00485A78">
          <w:rPr>
            <w:noProof/>
            <w:webHidden/>
          </w:rPr>
          <w:fldChar w:fldCharType="begin"/>
        </w:r>
        <w:r w:rsidR="00990432">
          <w:rPr>
            <w:noProof/>
            <w:webHidden/>
          </w:rPr>
          <w:instrText xml:space="preserve"> PAGEREF _Toc470102470 \h </w:instrText>
        </w:r>
        <w:r w:rsidR="00485A78">
          <w:rPr>
            <w:noProof/>
            <w:webHidden/>
          </w:rPr>
        </w:r>
        <w:r w:rsidR="00485A78">
          <w:rPr>
            <w:noProof/>
            <w:webHidden/>
          </w:rPr>
          <w:fldChar w:fldCharType="separate"/>
        </w:r>
        <w:r w:rsidR="00827938">
          <w:rPr>
            <w:noProof/>
            <w:webHidden/>
          </w:rPr>
          <w:t>18</w:t>
        </w:r>
        <w:r w:rsidR="00485A78">
          <w:rPr>
            <w:noProof/>
            <w:webHidden/>
          </w:rPr>
          <w:fldChar w:fldCharType="end"/>
        </w:r>
      </w:hyperlink>
    </w:p>
    <w:p w14:paraId="2F8604B8" w14:textId="77777777" w:rsidR="00990432" w:rsidRPr="00DC2B1D" w:rsidRDefault="00F917D9" w:rsidP="00ED2F59">
      <w:pPr>
        <w:pStyle w:val="TOC1"/>
        <w:rPr>
          <w:noProof/>
          <w:sz w:val="22"/>
          <w:szCs w:val="22"/>
          <w:lang w:eastAsia="en-GB"/>
        </w:rPr>
      </w:pPr>
      <w:hyperlink w:anchor="_Toc470102471" w:history="1">
        <w:r w:rsidR="00990432" w:rsidRPr="00625C0A">
          <w:rPr>
            <w:rStyle w:val="Hyperlink"/>
            <w:noProof/>
          </w:rPr>
          <w:t>9</w:t>
        </w:r>
        <w:r w:rsidR="00990432" w:rsidRPr="00DC2B1D">
          <w:rPr>
            <w:noProof/>
            <w:sz w:val="22"/>
            <w:szCs w:val="22"/>
            <w:lang w:eastAsia="en-GB"/>
          </w:rPr>
          <w:tab/>
        </w:r>
        <w:r w:rsidR="00990432" w:rsidRPr="00625C0A">
          <w:rPr>
            <w:rStyle w:val="Hyperlink"/>
            <w:noProof/>
          </w:rPr>
          <w:t>Participant Selection criteria</w:t>
        </w:r>
        <w:r w:rsidR="00990432">
          <w:rPr>
            <w:noProof/>
            <w:webHidden/>
          </w:rPr>
          <w:tab/>
        </w:r>
        <w:r w:rsidR="00485A78">
          <w:rPr>
            <w:noProof/>
            <w:webHidden/>
          </w:rPr>
          <w:fldChar w:fldCharType="begin"/>
        </w:r>
        <w:r w:rsidR="00990432">
          <w:rPr>
            <w:noProof/>
            <w:webHidden/>
          </w:rPr>
          <w:instrText xml:space="preserve"> PAGEREF _Toc470102471 \h </w:instrText>
        </w:r>
        <w:r w:rsidR="00485A78">
          <w:rPr>
            <w:noProof/>
            <w:webHidden/>
          </w:rPr>
        </w:r>
        <w:r w:rsidR="00485A78">
          <w:rPr>
            <w:noProof/>
            <w:webHidden/>
          </w:rPr>
          <w:fldChar w:fldCharType="separate"/>
        </w:r>
        <w:r w:rsidR="00827938">
          <w:rPr>
            <w:noProof/>
            <w:webHidden/>
          </w:rPr>
          <w:t>19</w:t>
        </w:r>
        <w:r w:rsidR="00485A78">
          <w:rPr>
            <w:noProof/>
            <w:webHidden/>
          </w:rPr>
          <w:fldChar w:fldCharType="end"/>
        </w:r>
      </w:hyperlink>
    </w:p>
    <w:p w14:paraId="436FD0CC" w14:textId="77777777" w:rsidR="00990432" w:rsidRPr="00DC2B1D" w:rsidRDefault="00F917D9">
      <w:pPr>
        <w:pStyle w:val="TOC2"/>
        <w:tabs>
          <w:tab w:val="left" w:pos="880"/>
          <w:tab w:val="right" w:leader="dot" w:pos="9016"/>
        </w:tabs>
        <w:rPr>
          <w:noProof/>
          <w:sz w:val="22"/>
          <w:szCs w:val="22"/>
          <w:lang w:eastAsia="en-GB"/>
        </w:rPr>
      </w:pPr>
      <w:hyperlink w:anchor="_Toc470102472" w:history="1">
        <w:r w:rsidR="00990432" w:rsidRPr="00625C0A">
          <w:rPr>
            <w:rStyle w:val="Hyperlink"/>
            <w:noProof/>
          </w:rPr>
          <w:t>9.1</w:t>
        </w:r>
        <w:r w:rsidR="00990432" w:rsidRPr="00DC2B1D">
          <w:rPr>
            <w:noProof/>
            <w:sz w:val="22"/>
            <w:szCs w:val="22"/>
            <w:lang w:eastAsia="en-GB"/>
          </w:rPr>
          <w:tab/>
        </w:r>
        <w:r w:rsidR="00990432" w:rsidRPr="00625C0A">
          <w:rPr>
            <w:rStyle w:val="Hyperlink"/>
            <w:noProof/>
          </w:rPr>
          <w:t>Inclusion criteria</w:t>
        </w:r>
        <w:r w:rsidR="00990432">
          <w:rPr>
            <w:noProof/>
            <w:webHidden/>
          </w:rPr>
          <w:tab/>
        </w:r>
        <w:r w:rsidR="00485A78">
          <w:rPr>
            <w:noProof/>
            <w:webHidden/>
          </w:rPr>
          <w:fldChar w:fldCharType="begin"/>
        </w:r>
        <w:r w:rsidR="00990432">
          <w:rPr>
            <w:noProof/>
            <w:webHidden/>
          </w:rPr>
          <w:instrText xml:space="preserve"> PAGEREF _Toc470102472 \h </w:instrText>
        </w:r>
        <w:r w:rsidR="00485A78">
          <w:rPr>
            <w:noProof/>
            <w:webHidden/>
          </w:rPr>
        </w:r>
        <w:r w:rsidR="00485A78">
          <w:rPr>
            <w:noProof/>
            <w:webHidden/>
          </w:rPr>
          <w:fldChar w:fldCharType="separate"/>
        </w:r>
        <w:r w:rsidR="00827938">
          <w:rPr>
            <w:noProof/>
            <w:webHidden/>
          </w:rPr>
          <w:t>19</w:t>
        </w:r>
        <w:r w:rsidR="00485A78">
          <w:rPr>
            <w:noProof/>
            <w:webHidden/>
          </w:rPr>
          <w:fldChar w:fldCharType="end"/>
        </w:r>
      </w:hyperlink>
    </w:p>
    <w:p w14:paraId="33AA06AA" w14:textId="77777777" w:rsidR="00990432" w:rsidRPr="00DC2B1D" w:rsidRDefault="00F917D9">
      <w:pPr>
        <w:pStyle w:val="TOC2"/>
        <w:tabs>
          <w:tab w:val="left" w:pos="880"/>
          <w:tab w:val="right" w:leader="dot" w:pos="9016"/>
        </w:tabs>
        <w:rPr>
          <w:noProof/>
          <w:sz w:val="22"/>
          <w:szCs w:val="22"/>
          <w:lang w:eastAsia="en-GB"/>
        </w:rPr>
      </w:pPr>
      <w:hyperlink w:anchor="_Toc470102473" w:history="1">
        <w:r w:rsidR="00990432" w:rsidRPr="00625C0A">
          <w:rPr>
            <w:rStyle w:val="Hyperlink"/>
            <w:rFonts w:cs="Tahoma"/>
            <w:noProof/>
            <w:lang w:eastAsia="en-GB"/>
          </w:rPr>
          <w:t>9.2</w:t>
        </w:r>
        <w:r w:rsidR="00990432" w:rsidRPr="00DC2B1D">
          <w:rPr>
            <w:noProof/>
            <w:sz w:val="22"/>
            <w:szCs w:val="22"/>
            <w:lang w:eastAsia="en-GB"/>
          </w:rPr>
          <w:tab/>
        </w:r>
        <w:r w:rsidR="00990432" w:rsidRPr="00625C0A">
          <w:rPr>
            <w:rStyle w:val="Hyperlink"/>
            <w:rFonts w:cs="Tahoma"/>
            <w:noProof/>
            <w:lang w:eastAsia="en-GB"/>
          </w:rPr>
          <w:t>Exclusion criteria</w:t>
        </w:r>
        <w:r w:rsidR="00990432">
          <w:rPr>
            <w:noProof/>
            <w:webHidden/>
          </w:rPr>
          <w:tab/>
        </w:r>
        <w:r w:rsidR="00485A78">
          <w:rPr>
            <w:noProof/>
            <w:webHidden/>
          </w:rPr>
          <w:fldChar w:fldCharType="begin"/>
        </w:r>
        <w:r w:rsidR="00990432">
          <w:rPr>
            <w:noProof/>
            <w:webHidden/>
          </w:rPr>
          <w:instrText xml:space="preserve"> PAGEREF _Toc470102473 \h </w:instrText>
        </w:r>
        <w:r w:rsidR="00485A78">
          <w:rPr>
            <w:noProof/>
            <w:webHidden/>
          </w:rPr>
        </w:r>
        <w:r w:rsidR="00485A78">
          <w:rPr>
            <w:noProof/>
            <w:webHidden/>
          </w:rPr>
          <w:fldChar w:fldCharType="separate"/>
        </w:r>
        <w:r w:rsidR="00827938">
          <w:rPr>
            <w:noProof/>
            <w:webHidden/>
          </w:rPr>
          <w:t>19</w:t>
        </w:r>
        <w:r w:rsidR="00485A78">
          <w:rPr>
            <w:noProof/>
            <w:webHidden/>
          </w:rPr>
          <w:fldChar w:fldCharType="end"/>
        </w:r>
      </w:hyperlink>
    </w:p>
    <w:p w14:paraId="1CCE7875" w14:textId="77777777" w:rsidR="00990432" w:rsidRPr="00DC2B1D" w:rsidRDefault="00F917D9" w:rsidP="00ED2F59">
      <w:pPr>
        <w:pStyle w:val="TOC1"/>
        <w:rPr>
          <w:noProof/>
          <w:sz w:val="22"/>
          <w:szCs w:val="22"/>
          <w:lang w:eastAsia="en-GB"/>
        </w:rPr>
      </w:pPr>
      <w:hyperlink w:anchor="_Toc470102474" w:history="1">
        <w:r w:rsidR="00990432" w:rsidRPr="00625C0A">
          <w:rPr>
            <w:rStyle w:val="Hyperlink"/>
            <w:noProof/>
          </w:rPr>
          <w:t>11</w:t>
        </w:r>
        <w:r w:rsidR="00990432" w:rsidRPr="00DC2B1D">
          <w:rPr>
            <w:noProof/>
            <w:sz w:val="22"/>
            <w:szCs w:val="22"/>
            <w:lang w:eastAsia="en-GB"/>
          </w:rPr>
          <w:tab/>
        </w:r>
        <w:r w:rsidR="00990432" w:rsidRPr="00625C0A">
          <w:rPr>
            <w:rStyle w:val="Hyperlink"/>
            <w:noProof/>
          </w:rPr>
          <w:t>Study procedures</w:t>
        </w:r>
        <w:r w:rsidR="00990432">
          <w:rPr>
            <w:noProof/>
            <w:webHidden/>
          </w:rPr>
          <w:tab/>
        </w:r>
        <w:r w:rsidR="00485A78">
          <w:rPr>
            <w:noProof/>
            <w:webHidden/>
          </w:rPr>
          <w:fldChar w:fldCharType="begin"/>
        </w:r>
        <w:r w:rsidR="00990432">
          <w:rPr>
            <w:noProof/>
            <w:webHidden/>
          </w:rPr>
          <w:instrText xml:space="preserve"> PAGEREF _Toc470102474 \h </w:instrText>
        </w:r>
        <w:r w:rsidR="00485A78">
          <w:rPr>
            <w:noProof/>
            <w:webHidden/>
          </w:rPr>
        </w:r>
        <w:r w:rsidR="00485A78">
          <w:rPr>
            <w:noProof/>
            <w:webHidden/>
          </w:rPr>
          <w:fldChar w:fldCharType="separate"/>
        </w:r>
        <w:r w:rsidR="00827938">
          <w:rPr>
            <w:noProof/>
            <w:webHidden/>
          </w:rPr>
          <w:t>20</w:t>
        </w:r>
        <w:r w:rsidR="00485A78">
          <w:rPr>
            <w:noProof/>
            <w:webHidden/>
          </w:rPr>
          <w:fldChar w:fldCharType="end"/>
        </w:r>
      </w:hyperlink>
    </w:p>
    <w:p w14:paraId="37EFEC08" w14:textId="77777777" w:rsidR="00990432" w:rsidRPr="00DC2B1D" w:rsidRDefault="00F917D9">
      <w:pPr>
        <w:pStyle w:val="TOC2"/>
        <w:tabs>
          <w:tab w:val="left" w:pos="880"/>
          <w:tab w:val="right" w:leader="dot" w:pos="9016"/>
        </w:tabs>
        <w:rPr>
          <w:noProof/>
          <w:sz w:val="22"/>
          <w:szCs w:val="22"/>
          <w:lang w:eastAsia="en-GB"/>
        </w:rPr>
      </w:pPr>
      <w:hyperlink w:anchor="_Toc470102475" w:history="1">
        <w:r w:rsidR="00990432" w:rsidRPr="00625C0A">
          <w:rPr>
            <w:rStyle w:val="Hyperlink"/>
            <w:rFonts w:cs="Tahoma"/>
            <w:noProof/>
            <w:lang w:eastAsia="en-GB"/>
          </w:rPr>
          <w:t>11.1</w:t>
        </w:r>
        <w:r w:rsidR="00990432" w:rsidRPr="00DC2B1D">
          <w:rPr>
            <w:noProof/>
            <w:sz w:val="22"/>
            <w:szCs w:val="22"/>
            <w:lang w:eastAsia="en-GB"/>
          </w:rPr>
          <w:tab/>
        </w:r>
        <w:r w:rsidR="00990432" w:rsidRPr="00625C0A">
          <w:rPr>
            <w:rStyle w:val="Hyperlink"/>
            <w:rFonts w:cs="Tahoma"/>
            <w:noProof/>
            <w:lang w:eastAsia="en-GB"/>
          </w:rPr>
          <w:t>Informed consent</w:t>
        </w:r>
        <w:r w:rsidR="00990432">
          <w:rPr>
            <w:noProof/>
            <w:webHidden/>
          </w:rPr>
          <w:tab/>
        </w:r>
        <w:r w:rsidR="00485A78">
          <w:rPr>
            <w:noProof/>
            <w:webHidden/>
          </w:rPr>
          <w:fldChar w:fldCharType="begin"/>
        </w:r>
        <w:r w:rsidR="00990432">
          <w:rPr>
            <w:noProof/>
            <w:webHidden/>
          </w:rPr>
          <w:instrText xml:space="preserve"> PAGEREF _Toc470102475 \h </w:instrText>
        </w:r>
        <w:r w:rsidR="00485A78">
          <w:rPr>
            <w:noProof/>
            <w:webHidden/>
          </w:rPr>
        </w:r>
        <w:r w:rsidR="00485A78">
          <w:rPr>
            <w:noProof/>
            <w:webHidden/>
          </w:rPr>
          <w:fldChar w:fldCharType="separate"/>
        </w:r>
        <w:r w:rsidR="00827938">
          <w:rPr>
            <w:noProof/>
            <w:webHidden/>
          </w:rPr>
          <w:t>20</w:t>
        </w:r>
        <w:r w:rsidR="00485A78">
          <w:rPr>
            <w:noProof/>
            <w:webHidden/>
          </w:rPr>
          <w:fldChar w:fldCharType="end"/>
        </w:r>
      </w:hyperlink>
    </w:p>
    <w:p w14:paraId="0A3ECC58" w14:textId="77777777" w:rsidR="00990432" w:rsidRPr="00DC2B1D" w:rsidRDefault="00F917D9">
      <w:pPr>
        <w:pStyle w:val="TOC2"/>
        <w:tabs>
          <w:tab w:val="left" w:pos="880"/>
          <w:tab w:val="right" w:leader="dot" w:pos="9016"/>
        </w:tabs>
        <w:rPr>
          <w:noProof/>
          <w:sz w:val="22"/>
          <w:szCs w:val="22"/>
          <w:lang w:eastAsia="en-GB"/>
        </w:rPr>
      </w:pPr>
      <w:hyperlink w:anchor="_Toc470102476" w:history="1">
        <w:r w:rsidR="00990432" w:rsidRPr="00625C0A">
          <w:rPr>
            <w:rStyle w:val="Hyperlink"/>
            <w:rFonts w:cs="Tahoma"/>
            <w:noProof/>
            <w:lang w:eastAsia="en-GB"/>
          </w:rPr>
          <w:t>11.2</w:t>
        </w:r>
        <w:r w:rsidR="00990432" w:rsidRPr="00DC2B1D">
          <w:rPr>
            <w:noProof/>
            <w:sz w:val="22"/>
            <w:szCs w:val="22"/>
            <w:lang w:eastAsia="en-GB"/>
          </w:rPr>
          <w:tab/>
        </w:r>
        <w:r w:rsidR="00990432" w:rsidRPr="00625C0A">
          <w:rPr>
            <w:rStyle w:val="Hyperlink"/>
            <w:rFonts w:cs="Tahoma"/>
            <w:noProof/>
            <w:lang w:eastAsia="en-GB"/>
          </w:rPr>
          <w:t>Randomisation procedure</w:t>
        </w:r>
        <w:r w:rsidR="00990432">
          <w:rPr>
            <w:noProof/>
            <w:webHidden/>
          </w:rPr>
          <w:tab/>
        </w:r>
        <w:r w:rsidR="00485A78">
          <w:rPr>
            <w:noProof/>
            <w:webHidden/>
          </w:rPr>
          <w:fldChar w:fldCharType="begin"/>
        </w:r>
        <w:r w:rsidR="00990432">
          <w:rPr>
            <w:noProof/>
            <w:webHidden/>
          </w:rPr>
          <w:instrText xml:space="preserve"> PAGEREF _Toc470102476 \h </w:instrText>
        </w:r>
        <w:r w:rsidR="00485A78">
          <w:rPr>
            <w:noProof/>
            <w:webHidden/>
          </w:rPr>
        </w:r>
        <w:r w:rsidR="00485A78">
          <w:rPr>
            <w:noProof/>
            <w:webHidden/>
          </w:rPr>
          <w:fldChar w:fldCharType="separate"/>
        </w:r>
        <w:r w:rsidR="00827938">
          <w:rPr>
            <w:noProof/>
            <w:webHidden/>
          </w:rPr>
          <w:t>21</w:t>
        </w:r>
        <w:r w:rsidR="00485A78">
          <w:rPr>
            <w:noProof/>
            <w:webHidden/>
          </w:rPr>
          <w:fldChar w:fldCharType="end"/>
        </w:r>
      </w:hyperlink>
    </w:p>
    <w:p w14:paraId="263212DA" w14:textId="77777777" w:rsidR="00990432" w:rsidRPr="00DC2B1D" w:rsidRDefault="00F917D9">
      <w:pPr>
        <w:pStyle w:val="TOC2"/>
        <w:tabs>
          <w:tab w:val="left" w:pos="880"/>
          <w:tab w:val="right" w:leader="dot" w:pos="9016"/>
        </w:tabs>
        <w:rPr>
          <w:noProof/>
          <w:sz w:val="22"/>
          <w:szCs w:val="22"/>
          <w:lang w:eastAsia="en-GB"/>
        </w:rPr>
      </w:pPr>
      <w:hyperlink w:anchor="_Toc470102477" w:history="1">
        <w:r w:rsidR="00990432" w:rsidRPr="00625C0A">
          <w:rPr>
            <w:rStyle w:val="Hyperlink"/>
            <w:noProof/>
          </w:rPr>
          <w:t>11.5</w:t>
        </w:r>
        <w:r w:rsidR="00990432" w:rsidRPr="00DC2B1D">
          <w:rPr>
            <w:noProof/>
            <w:sz w:val="22"/>
            <w:szCs w:val="22"/>
            <w:lang w:eastAsia="en-GB"/>
          </w:rPr>
          <w:tab/>
        </w:r>
        <w:r w:rsidR="00990432" w:rsidRPr="00625C0A">
          <w:rPr>
            <w:rStyle w:val="Hyperlink"/>
            <w:noProof/>
          </w:rPr>
          <w:t>Discontinuation/withdrawal of participants and stopping rules</w:t>
        </w:r>
        <w:r w:rsidR="00990432">
          <w:rPr>
            <w:noProof/>
            <w:webHidden/>
          </w:rPr>
          <w:tab/>
        </w:r>
        <w:r w:rsidR="00485A78">
          <w:rPr>
            <w:noProof/>
            <w:webHidden/>
          </w:rPr>
          <w:fldChar w:fldCharType="begin"/>
        </w:r>
        <w:r w:rsidR="00990432">
          <w:rPr>
            <w:noProof/>
            <w:webHidden/>
          </w:rPr>
          <w:instrText xml:space="preserve"> PAGEREF _Toc470102477 \h </w:instrText>
        </w:r>
        <w:r w:rsidR="00485A78">
          <w:rPr>
            <w:noProof/>
            <w:webHidden/>
          </w:rPr>
        </w:r>
        <w:r w:rsidR="00485A78">
          <w:rPr>
            <w:noProof/>
            <w:webHidden/>
          </w:rPr>
          <w:fldChar w:fldCharType="separate"/>
        </w:r>
        <w:r w:rsidR="00827938">
          <w:rPr>
            <w:noProof/>
            <w:webHidden/>
          </w:rPr>
          <w:t>22</w:t>
        </w:r>
        <w:r w:rsidR="00485A78">
          <w:rPr>
            <w:noProof/>
            <w:webHidden/>
          </w:rPr>
          <w:fldChar w:fldCharType="end"/>
        </w:r>
      </w:hyperlink>
    </w:p>
    <w:p w14:paraId="6A0A0897" w14:textId="77777777" w:rsidR="00990432" w:rsidRPr="00DC2B1D" w:rsidRDefault="00F917D9">
      <w:pPr>
        <w:pStyle w:val="TOC2"/>
        <w:tabs>
          <w:tab w:val="right" w:leader="dot" w:pos="9016"/>
        </w:tabs>
        <w:rPr>
          <w:noProof/>
          <w:sz w:val="22"/>
          <w:szCs w:val="22"/>
          <w:lang w:eastAsia="en-GB"/>
        </w:rPr>
      </w:pPr>
      <w:hyperlink w:anchor="_Toc470102478" w:history="1">
        <w:r w:rsidR="00990432" w:rsidRPr="00625C0A">
          <w:rPr>
            <w:rStyle w:val="Hyperlink"/>
            <w:noProof/>
          </w:rPr>
          <w:t>11.6 Participant transfers</w:t>
        </w:r>
        <w:r w:rsidR="00990432">
          <w:rPr>
            <w:noProof/>
            <w:webHidden/>
          </w:rPr>
          <w:tab/>
        </w:r>
        <w:r w:rsidR="00485A78">
          <w:rPr>
            <w:noProof/>
            <w:webHidden/>
          </w:rPr>
          <w:fldChar w:fldCharType="begin"/>
        </w:r>
        <w:r w:rsidR="00990432">
          <w:rPr>
            <w:noProof/>
            <w:webHidden/>
          </w:rPr>
          <w:instrText xml:space="preserve"> PAGEREF _Toc470102478 \h </w:instrText>
        </w:r>
        <w:r w:rsidR="00485A78">
          <w:rPr>
            <w:noProof/>
            <w:webHidden/>
          </w:rPr>
        </w:r>
        <w:r w:rsidR="00485A78">
          <w:rPr>
            <w:noProof/>
            <w:webHidden/>
          </w:rPr>
          <w:fldChar w:fldCharType="separate"/>
        </w:r>
        <w:r w:rsidR="00827938">
          <w:rPr>
            <w:noProof/>
            <w:webHidden/>
          </w:rPr>
          <w:t>23</w:t>
        </w:r>
        <w:r w:rsidR="00485A78">
          <w:rPr>
            <w:noProof/>
            <w:webHidden/>
          </w:rPr>
          <w:fldChar w:fldCharType="end"/>
        </w:r>
      </w:hyperlink>
    </w:p>
    <w:p w14:paraId="1DF86911" w14:textId="77777777" w:rsidR="00990432" w:rsidRPr="00DC2B1D" w:rsidRDefault="00F917D9">
      <w:pPr>
        <w:pStyle w:val="TOC2"/>
        <w:tabs>
          <w:tab w:val="right" w:leader="dot" w:pos="9016"/>
        </w:tabs>
        <w:rPr>
          <w:noProof/>
          <w:sz w:val="22"/>
          <w:szCs w:val="22"/>
          <w:lang w:eastAsia="en-GB"/>
        </w:rPr>
      </w:pPr>
      <w:hyperlink w:anchor="_Toc470102479" w:history="1">
        <w:r w:rsidR="00990432" w:rsidRPr="00625C0A">
          <w:rPr>
            <w:rStyle w:val="Hyperlink"/>
            <w:noProof/>
          </w:rPr>
          <w:t>11.7  Lost to follow up</w:t>
        </w:r>
        <w:r w:rsidR="00990432">
          <w:rPr>
            <w:noProof/>
            <w:webHidden/>
          </w:rPr>
          <w:tab/>
        </w:r>
        <w:r w:rsidR="00485A78">
          <w:rPr>
            <w:noProof/>
            <w:webHidden/>
          </w:rPr>
          <w:fldChar w:fldCharType="begin"/>
        </w:r>
        <w:r w:rsidR="00990432">
          <w:rPr>
            <w:noProof/>
            <w:webHidden/>
          </w:rPr>
          <w:instrText xml:space="preserve"> PAGEREF _Toc470102479 \h </w:instrText>
        </w:r>
        <w:r w:rsidR="00485A78">
          <w:rPr>
            <w:noProof/>
            <w:webHidden/>
          </w:rPr>
        </w:r>
        <w:r w:rsidR="00485A78">
          <w:rPr>
            <w:noProof/>
            <w:webHidden/>
          </w:rPr>
          <w:fldChar w:fldCharType="separate"/>
        </w:r>
        <w:r w:rsidR="00827938">
          <w:rPr>
            <w:noProof/>
            <w:webHidden/>
          </w:rPr>
          <w:t>23</w:t>
        </w:r>
        <w:r w:rsidR="00485A78">
          <w:rPr>
            <w:noProof/>
            <w:webHidden/>
          </w:rPr>
          <w:fldChar w:fldCharType="end"/>
        </w:r>
      </w:hyperlink>
    </w:p>
    <w:p w14:paraId="5DE36D57" w14:textId="77777777" w:rsidR="00990432" w:rsidRPr="00DC2B1D" w:rsidRDefault="00F917D9">
      <w:pPr>
        <w:pStyle w:val="TOC2"/>
        <w:tabs>
          <w:tab w:val="right" w:leader="dot" w:pos="9016"/>
        </w:tabs>
        <w:rPr>
          <w:noProof/>
          <w:sz w:val="22"/>
          <w:szCs w:val="22"/>
          <w:lang w:eastAsia="en-GB"/>
        </w:rPr>
      </w:pPr>
      <w:hyperlink w:anchor="_Toc470102480" w:history="1">
        <w:r w:rsidR="00990432" w:rsidRPr="00625C0A">
          <w:rPr>
            <w:rStyle w:val="Hyperlink"/>
            <w:rFonts w:cs="Tahoma"/>
            <w:noProof/>
            <w:lang w:eastAsia="en-GB"/>
          </w:rPr>
          <w:t>11.8 Definition of the End of Trial</w:t>
        </w:r>
        <w:r w:rsidR="00990432">
          <w:rPr>
            <w:noProof/>
            <w:webHidden/>
          </w:rPr>
          <w:tab/>
        </w:r>
        <w:r w:rsidR="00485A78">
          <w:rPr>
            <w:noProof/>
            <w:webHidden/>
          </w:rPr>
          <w:fldChar w:fldCharType="begin"/>
        </w:r>
        <w:r w:rsidR="00990432">
          <w:rPr>
            <w:noProof/>
            <w:webHidden/>
          </w:rPr>
          <w:instrText xml:space="preserve"> PAGEREF _Toc470102480 \h </w:instrText>
        </w:r>
        <w:r w:rsidR="00485A78">
          <w:rPr>
            <w:noProof/>
            <w:webHidden/>
          </w:rPr>
        </w:r>
        <w:r w:rsidR="00485A78">
          <w:rPr>
            <w:noProof/>
            <w:webHidden/>
          </w:rPr>
          <w:fldChar w:fldCharType="separate"/>
        </w:r>
        <w:r w:rsidR="00827938">
          <w:rPr>
            <w:noProof/>
            <w:webHidden/>
          </w:rPr>
          <w:t>23</w:t>
        </w:r>
        <w:r w:rsidR="00485A78">
          <w:rPr>
            <w:noProof/>
            <w:webHidden/>
          </w:rPr>
          <w:fldChar w:fldCharType="end"/>
        </w:r>
      </w:hyperlink>
    </w:p>
    <w:p w14:paraId="78E69D56" w14:textId="77777777" w:rsidR="00990432" w:rsidRPr="00DC2B1D" w:rsidRDefault="00F917D9" w:rsidP="00ED2F59">
      <w:pPr>
        <w:pStyle w:val="TOC1"/>
        <w:rPr>
          <w:noProof/>
          <w:sz w:val="22"/>
          <w:szCs w:val="22"/>
          <w:lang w:eastAsia="en-GB"/>
        </w:rPr>
      </w:pPr>
      <w:hyperlink w:anchor="_Toc470102481" w:history="1">
        <w:r w:rsidR="00990432" w:rsidRPr="00625C0A">
          <w:rPr>
            <w:rStyle w:val="Hyperlink"/>
            <w:noProof/>
          </w:rPr>
          <w:t>12.</w:t>
        </w:r>
        <w:r w:rsidR="00990432" w:rsidRPr="00DC2B1D">
          <w:rPr>
            <w:noProof/>
            <w:sz w:val="22"/>
            <w:szCs w:val="22"/>
            <w:lang w:eastAsia="en-GB"/>
          </w:rPr>
          <w:tab/>
        </w:r>
        <w:r w:rsidR="00990432" w:rsidRPr="00625C0A">
          <w:rPr>
            <w:rStyle w:val="Hyperlink"/>
            <w:noProof/>
          </w:rPr>
          <w:t>Study Assessments</w:t>
        </w:r>
        <w:r w:rsidR="00990432">
          <w:rPr>
            <w:noProof/>
            <w:webHidden/>
          </w:rPr>
          <w:tab/>
        </w:r>
        <w:r w:rsidR="00485A78">
          <w:rPr>
            <w:noProof/>
            <w:webHidden/>
          </w:rPr>
          <w:fldChar w:fldCharType="begin"/>
        </w:r>
        <w:r w:rsidR="00990432">
          <w:rPr>
            <w:noProof/>
            <w:webHidden/>
          </w:rPr>
          <w:instrText xml:space="preserve"> PAGEREF _Toc470102481 \h </w:instrText>
        </w:r>
        <w:r w:rsidR="00485A78">
          <w:rPr>
            <w:noProof/>
            <w:webHidden/>
          </w:rPr>
        </w:r>
        <w:r w:rsidR="00485A78">
          <w:rPr>
            <w:noProof/>
            <w:webHidden/>
          </w:rPr>
          <w:fldChar w:fldCharType="separate"/>
        </w:r>
        <w:r w:rsidR="00827938">
          <w:rPr>
            <w:noProof/>
            <w:webHidden/>
          </w:rPr>
          <w:t>23</w:t>
        </w:r>
        <w:r w:rsidR="00485A78">
          <w:rPr>
            <w:noProof/>
            <w:webHidden/>
          </w:rPr>
          <w:fldChar w:fldCharType="end"/>
        </w:r>
      </w:hyperlink>
    </w:p>
    <w:p w14:paraId="422EDA50" w14:textId="77777777" w:rsidR="00990432" w:rsidRPr="00DC2B1D" w:rsidRDefault="00F917D9">
      <w:pPr>
        <w:pStyle w:val="TOC2"/>
        <w:tabs>
          <w:tab w:val="left" w:pos="880"/>
          <w:tab w:val="right" w:leader="dot" w:pos="9016"/>
        </w:tabs>
        <w:rPr>
          <w:noProof/>
          <w:sz w:val="22"/>
          <w:szCs w:val="22"/>
          <w:lang w:eastAsia="en-GB"/>
        </w:rPr>
      </w:pPr>
      <w:hyperlink w:anchor="_Toc470102482" w:history="1">
        <w:r w:rsidR="00990432" w:rsidRPr="00625C0A">
          <w:rPr>
            <w:rStyle w:val="Hyperlink"/>
            <w:rFonts w:cs="Tahoma"/>
            <w:noProof/>
          </w:rPr>
          <w:t>12.1</w:t>
        </w:r>
        <w:r w:rsidR="00990432" w:rsidRPr="00DC2B1D">
          <w:rPr>
            <w:noProof/>
            <w:sz w:val="22"/>
            <w:szCs w:val="22"/>
            <w:lang w:eastAsia="en-GB"/>
          </w:rPr>
          <w:tab/>
        </w:r>
        <w:r w:rsidR="00990432" w:rsidRPr="00625C0A">
          <w:rPr>
            <w:rStyle w:val="Hyperlink"/>
            <w:rFonts w:cs="Tahoma"/>
            <w:noProof/>
          </w:rPr>
          <w:t>Screening assessments</w:t>
        </w:r>
        <w:r w:rsidR="00990432">
          <w:rPr>
            <w:noProof/>
            <w:webHidden/>
          </w:rPr>
          <w:tab/>
        </w:r>
        <w:r w:rsidR="00485A78">
          <w:rPr>
            <w:noProof/>
            <w:webHidden/>
          </w:rPr>
          <w:fldChar w:fldCharType="begin"/>
        </w:r>
        <w:r w:rsidR="00990432">
          <w:rPr>
            <w:noProof/>
            <w:webHidden/>
          </w:rPr>
          <w:instrText xml:space="preserve"> PAGEREF _Toc470102482 \h </w:instrText>
        </w:r>
        <w:r w:rsidR="00485A78">
          <w:rPr>
            <w:noProof/>
            <w:webHidden/>
          </w:rPr>
        </w:r>
        <w:r w:rsidR="00485A78">
          <w:rPr>
            <w:noProof/>
            <w:webHidden/>
          </w:rPr>
          <w:fldChar w:fldCharType="separate"/>
        </w:r>
        <w:r w:rsidR="00827938">
          <w:rPr>
            <w:noProof/>
            <w:webHidden/>
          </w:rPr>
          <w:t>23</w:t>
        </w:r>
        <w:r w:rsidR="00485A78">
          <w:rPr>
            <w:noProof/>
            <w:webHidden/>
          </w:rPr>
          <w:fldChar w:fldCharType="end"/>
        </w:r>
      </w:hyperlink>
    </w:p>
    <w:p w14:paraId="1A7A0276" w14:textId="77777777" w:rsidR="00990432" w:rsidRPr="00DC2B1D" w:rsidRDefault="00F917D9">
      <w:pPr>
        <w:pStyle w:val="TOC2"/>
        <w:tabs>
          <w:tab w:val="left" w:pos="880"/>
          <w:tab w:val="right" w:leader="dot" w:pos="9016"/>
        </w:tabs>
        <w:rPr>
          <w:noProof/>
          <w:sz w:val="22"/>
          <w:szCs w:val="22"/>
          <w:lang w:eastAsia="en-GB"/>
        </w:rPr>
      </w:pPr>
      <w:hyperlink w:anchor="_Toc470102483" w:history="1">
        <w:r w:rsidR="00990432" w:rsidRPr="00625C0A">
          <w:rPr>
            <w:rStyle w:val="Hyperlink"/>
            <w:rFonts w:cs="Tahoma"/>
            <w:noProof/>
          </w:rPr>
          <w:t>12.2</w:t>
        </w:r>
        <w:r w:rsidR="00990432" w:rsidRPr="00DC2B1D">
          <w:rPr>
            <w:noProof/>
            <w:sz w:val="22"/>
            <w:szCs w:val="22"/>
            <w:lang w:eastAsia="en-GB"/>
          </w:rPr>
          <w:tab/>
        </w:r>
        <w:r w:rsidR="00990432" w:rsidRPr="00625C0A">
          <w:rPr>
            <w:rStyle w:val="Hyperlink"/>
            <w:rFonts w:cs="Tahoma"/>
            <w:noProof/>
          </w:rPr>
          <w:t>Baseline assessments</w:t>
        </w:r>
        <w:r w:rsidR="00990432">
          <w:rPr>
            <w:noProof/>
            <w:webHidden/>
          </w:rPr>
          <w:tab/>
        </w:r>
        <w:r w:rsidR="00485A78">
          <w:rPr>
            <w:noProof/>
            <w:webHidden/>
          </w:rPr>
          <w:fldChar w:fldCharType="begin"/>
        </w:r>
        <w:r w:rsidR="00990432">
          <w:rPr>
            <w:noProof/>
            <w:webHidden/>
          </w:rPr>
          <w:instrText xml:space="preserve"> PAGEREF _Toc470102483 \h </w:instrText>
        </w:r>
        <w:r w:rsidR="00485A78">
          <w:rPr>
            <w:noProof/>
            <w:webHidden/>
          </w:rPr>
        </w:r>
        <w:r w:rsidR="00485A78">
          <w:rPr>
            <w:noProof/>
            <w:webHidden/>
          </w:rPr>
          <w:fldChar w:fldCharType="separate"/>
        </w:r>
        <w:r w:rsidR="00827938">
          <w:rPr>
            <w:noProof/>
            <w:webHidden/>
          </w:rPr>
          <w:t>24</w:t>
        </w:r>
        <w:r w:rsidR="00485A78">
          <w:rPr>
            <w:noProof/>
            <w:webHidden/>
          </w:rPr>
          <w:fldChar w:fldCharType="end"/>
        </w:r>
      </w:hyperlink>
    </w:p>
    <w:p w14:paraId="55BD22B6" w14:textId="77777777" w:rsidR="00990432" w:rsidRPr="00DC2B1D" w:rsidRDefault="00F917D9">
      <w:pPr>
        <w:pStyle w:val="TOC2"/>
        <w:tabs>
          <w:tab w:val="left" w:pos="880"/>
          <w:tab w:val="right" w:leader="dot" w:pos="9016"/>
        </w:tabs>
        <w:rPr>
          <w:noProof/>
          <w:sz w:val="22"/>
          <w:szCs w:val="22"/>
          <w:lang w:eastAsia="en-GB"/>
        </w:rPr>
      </w:pPr>
      <w:hyperlink w:anchor="_Toc470102484" w:history="1">
        <w:r w:rsidR="00990432" w:rsidRPr="00625C0A">
          <w:rPr>
            <w:rStyle w:val="Hyperlink"/>
            <w:rFonts w:cs="Tahoma"/>
            <w:noProof/>
          </w:rPr>
          <w:t>12.3</w:t>
        </w:r>
        <w:r w:rsidR="00990432" w:rsidRPr="00DC2B1D">
          <w:rPr>
            <w:noProof/>
            <w:sz w:val="22"/>
            <w:szCs w:val="22"/>
            <w:lang w:eastAsia="en-GB"/>
          </w:rPr>
          <w:tab/>
        </w:r>
        <w:r w:rsidR="00990432" w:rsidRPr="00625C0A">
          <w:rPr>
            <w:rStyle w:val="Hyperlink"/>
            <w:rFonts w:cs="Tahoma"/>
            <w:noProof/>
          </w:rPr>
          <w:t>Treatment procedure</w:t>
        </w:r>
        <w:r w:rsidR="00990432">
          <w:rPr>
            <w:noProof/>
            <w:webHidden/>
          </w:rPr>
          <w:tab/>
        </w:r>
        <w:r w:rsidR="00485A78">
          <w:rPr>
            <w:noProof/>
            <w:webHidden/>
          </w:rPr>
          <w:fldChar w:fldCharType="begin"/>
        </w:r>
        <w:r w:rsidR="00990432">
          <w:rPr>
            <w:noProof/>
            <w:webHidden/>
          </w:rPr>
          <w:instrText xml:space="preserve"> PAGEREF _Toc470102484 \h </w:instrText>
        </w:r>
        <w:r w:rsidR="00485A78">
          <w:rPr>
            <w:noProof/>
            <w:webHidden/>
          </w:rPr>
        </w:r>
        <w:r w:rsidR="00485A78">
          <w:rPr>
            <w:noProof/>
            <w:webHidden/>
          </w:rPr>
          <w:fldChar w:fldCharType="separate"/>
        </w:r>
        <w:r w:rsidR="00827938">
          <w:rPr>
            <w:noProof/>
            <w:webHidden/>
          </w:rPr>
          <w:t>24</w:t>
        </w:r>
        <w:r w:rsidR="00485A78">
          <w:rPr>
            <w:noProof/>
            <w:webHidden/>
          </w:rPr>
          <w:fldChar w:fldCharType="end"/>
        </w:r>
      </w:hyperlink>
    </w:p>
    <w:p w14:paraId="53E982A6" w14:textId="77777777" w:rsidR="00990432" w:rsidRPr="00DC2B1D" w:rsidRDefault="00F917D9">
      <w:pPr>
        <w:pStyle w:val="TOC2"/>
        <w:tabs>
          <w:tab w:val="right" w:leader="dot" w:pos="9016"/>
        </w:tabs>
        <w:rPr>
          <w:noProof/>
          <w:sz w:val="22"/>
          <w:szCs w:val="22"/>
          <w:lang w:eastAsia="en-GB"/>
        </w:rPr>
      </w:pPr>
      <w:hyperlink w:anchor="_Toc470102485" w:history="1">
        <w:r w:rsidR="00990432" w:rsidRPr="00625C0A">
          <w:rPr>
            <w:rStyle w:val="Hyperlink"/>
            <w:rFonts w:cs="Tahoma"/>
            <w:noProof/>
          </w:rPr>
          <w:t>12.4 Subsequent assessments</w:t>
        </w:r>
        <w:r w:rsidR="00990432">
          <w:rPr>
            <w:noProof/>
            <w:webHidden/>
          </w:rPr>
          <w:tab/>
        </w:r>
        <w:r w:rsidR="00485A78">
          <w:rPr>
            <w:noProof/>
            <w:webHidden/>
          </w:rPr>
          <w:fldChar w:fldCharType="begin"/>
        </w:r>
        <w:r w:rsidR="00990432">
          <w:rPr>
            <w:noProof/>
            <w:webHidden/>
          </w:rPr>
          <w:instrText xml:space="preserve"> PAGEREF _Toc470102485 \h </w:instrText>
        </w:r>
        <w:r w:rsidR="00485A78">
          <w:rPr>
            <w:noProof/>
            <w:webHidden/>
          </w:rPr>
        </w:r>
        <w:r w:rsidR="00485A78">
          <w:rPr>
            <w:noProof/>
            <w:webHidden/>
          </w:rPr>
          <w:fldChar w:fldCharType="separate"/>
        </w:r>
        <w:r w:rsidR="00827938">
          <w:rPr>
            <w:noProof/>
            <w:webHidden/>
          </w:rPr>
          <w:t>25</w:t>
        </w:r>
        <w:r w:rsidR="00485A78">
          <w:rPr>
            <w:noProof/>
            <w:webHidden/>
          </w:rPr>
          <w:fldChar w:fldCharType="end"/>
        </w:r>
      </w:hyperlink>
    </w:p>
    <w:p w14:paraId="4045EEAD" w14:textId="77777777" w:rsidR="00990432" w:rsidRPr="00DC2B1D" w:rsidRDefault="00F917D9">
      <w:pPr>
        <w:pStyle w:val="TOC2"/>
        <w:tabs>
          <w:tab w:val="left" w:pos="880"/>
          <w:tab w:val="right" w:leader="dot" w:pos="9016"/>
        </w:tabs>
        <w:rPr>
          <w:noProof/>
          <w:sz w:val="22"/>
          <w:szCs w:val="22"/>
          <w:lang w:eastAsia="en-GB"/>
        </w:rPr>
      </w:pPr>
      <w:hyperlink w:anchor="_Toc470102486" w:history="1">
        <w:r w:rsidR="00990432" w:rsidRPr="00625C0A">
          <w:rPr>
            <w:rStyle w:val="Hyperlink"/>
            <w:rFonts w:cs="Tahoma"/>
            <w:noProof/>
          </w:rPr>
          <w:t>12.5</w:t>
        </w:r>
        <w:r w:rsidR="00990432" w:rsidRPr="00DC2B1D">
          <w:rPr>
            <w:noProof/>
            <w:sz w:val="22"/>
            <w:szCs w:val="22"/>
            <w:lang w:eastAsia="en-GB"/>
          </w:rPr>
          <w:tab/>
        </w:r>
        <w:r w:rsidR="00990432" w:rsidRPr="00625C0A">
          <w:rPr>
            <w:rStyle w:val="Hyperlink"/>
            <w:rFonts w:cs="Tahoma"/>
            <w:noProof/>
          </w:rPr>
          <w:t>Summary flow chart of study assessments</w:t>
        </w:r>
        <w:r w:rsidR="00990432">
          <w:rPr>
            <w:noProof/>
            <w:webHidden/>
          </w:rPr>
          <w:tab/>
        </w:r>
        <w:r w:rsidR="00485A78">
          <w:rPr>
            <w:noProof/>
            <w:webHidden/>
          </w:rPr>
          <w:fldChar w:fldCharType="begin"/>
        </w:r>
        <w:r w:rsidR="00990432">
          <w:rPr>
            <w:noProof/>
            <w:webHidden/>
          </w:rPr>
          <w:instrText xml:space="preserve"> PAGEREF _Toc470102486 \h </w:instrText>
        </w:r>
        <w:r w:rsidR="00485A78">
          <w:rPr>
            <w:noProof/>
            <w:webHidden/>
          </w:rPr>
        </w:r>
        <w:r w:rsidR="00485A78">
          <w:rPr>
            <w:noProof/>
            <w:webHidden/>
          </w:rPr>
          <w:fldChar w:fldCharType="separate"/>
        </w:r>
        <w:r w:rsidR="00827938">
          <w:rPr>
            <w:noProof/>
            <w:webHidden/>
          </w:rPr>
          <w:t>26</w:t>
        </w:r>
        <w:r w:rsidR="00485A78">
          <w:rPr>
            <w:noProof/>
            <w:webHidden/>
          </w:rPr>
          <w:fldChar w:fldCharType="end"/>
        </w:r>
      </w:hyperlink>
    </w:p>
    <w:p w14:paraId="55E22A8E" w14:textId="77777777" w:rsidR="00990432" w:rsidRPr="00DC2B1D" w:rsidRDefault="00F917D9">
      <w:pPr>
        <w:pStyle w:val="TOC3"/>
        <w:rPr>
          <w:rFonts w:ascii="Calibri" w:hAnsi="Calibri"/>
          <w:sz w:val="22"/>
          <w:szCs w:val="22"/>
          <w:lang w:eastAsia="en-GB"/>
        </w:rPr>
      </w:pPr>
      <w:hyperlink w:anchor="_Toc470102487" w:history="1">
        <w:r w:rsidR="00990432" w:rsidRPr="00625C0A">
          <w:rPr>
            <w:rStyle w:val="Hyperlink"/>
            <w:lang w:eastAsia="en-GB"/>
          </w:rPr>
          <w:t>Refer to Appendix 2</w:t>
        </w:r>
        <w:r w:rsidR="00990432">
          <w:rPr>
            <w:webHidden/>
          </w:rPr>
          <w:tab/>
        </w:r>
        <w:r w:rsidR="00485A78">
          <w:rPr>
            <w:webHidden/>
          </w:rPr>
          <w:fldChar w:fldCharType="begin"/>
        </w:r>
        <w:r w:rsidR="00990432">
          <w:rPr>
            <w:webHidden/>
          </w:rPr>
          <w:instrText xml:space="preserve"> PAGEREF _Toc470102487 \h </w:instrText>
        </w:r>
        <w:r w:rsidR="00485A78">
          <w:rPr>
            <w:webHidden/>
          </w:rPr>
        </w:r>
        <w:r w:rsidR="00485A78">
          <w:rPr>
            <w:webHidden/>
          </w:rPr>
          <w:fldChar w:fldCharType="separate"/>
        </w:r>
        <w:r w:rsidR="00827938">
          <w:rPr>
            <w:webHidden/>
          </w:rPr>
          <w:t>26</w:t>
        </w:r>
        <w:r w:rsidR="00485A78">
          <w:rPr>
            <w:webHidden/>
          </w:rPr>
          <w:fldChar w:fldCharType="end"/>
        </w:r>
      </w:hyperlink>
    </w:p>
    <w:p w14:paraId="60875CE8" w14:textId="77777777" w:rsidR="00990432" w:rsidRPr="00DC2B1D" w:rsidRDefault="00F917D9">
      <w:pPr>
        <w:pStyle w:val="TOC2"/>
        <w:tabs>
          <w:tab w:val="left" w:pos="880"/>
          <w:tab w:val="right" w:leader="dot" w:pos="9016"/>
        </w:tabs>
        <w:rPr>
          <w:noProof/>
          <w:sz w:val="22"/>
          <w:szCs w:val="22"/>
          <w:lang w:eastAsia="en-GB"/>
        </w:rPr>
      </w:pPr>
      <w:hyperlink w:anchor="_Toc470102488" w:history="1">
        <w:r w:rsidR="00990432" w:rsidRPr="00625C0A">
          <w:rPr>
            <w:rStyle w:val="Hyperlink"/>
            <w:rFonts w:cs="Tahoma"/>
            <w:noProof/>
            <w:lang w:eastAsia="en-GB"/>
          </w:rPr>
          <w:t>12.6</w:t>
        </w:r>
        <w:r w:rsidR="00990432" w:rsidRPr="00DC2B1D">
          <w:rPr>
            <w:noProof/>
            <w:sz w:val="22"/>
            <w:szCs w:val="22"/>
            <w:lang w:eastAsia="en-GB"/>
          </w:rPr>
          <w:tab/>
        </w:r>
        <w:r w:rsidR="00990432" w:rsidRPr="00625C0A">
          <w:rPr>
            <w:rStyle w:val="Hyperlink"/>
            <w:rFonts w:cs="Tahoma"/>
            <w:noProof/>
            <w:lang w:eastAsia="en-GB"/>
          </w:rPr>
          <w:t>Methods</w:t>
        </w:r>
        <w:r w:rsidR="00990432">
          <w:rPr>
            <w:noProof/>
            <w:webHidden/>
          </w:rPr>
          <w:tab/>
        </w:r>
        <w:r w:rsidR="00485A78">
          <w:rPr>
            <w:noProof/>
            <w:webHidden/>
          </w:rPr>
          <w:fldChar w:fldCharType="begin"/>
        </w:r>
        <w:r w:rsidR="00990432">
          <w:rPr>
            <w:noProof/>
            <w:webHidden/>
          </w:rPr>
          <w:instrText xml:space="preserve"> PAGEREF _Toc470102488 \h </w:instrText>
        </w:r>
        <w:r w:rsidR="00485A78">
          <w:rPr>
            <w:noProof/>
            <w:webHidden/>
          </w:rPr>
        </w:r>
        <w:r w:rsidR="00485A78">
          <w:rPr>
            <w:noProof/>
            <w:webHidden/>
          </w:rPr>
          <w:fldChar w:fldCharType="separate"/>
        </w:r>
        <w:r w:rsidR="00827938">
          <w:rPr>
            <w:noProof/>
            <w:webHidden/>
          </w:rPr>
          <w:t>26</w:t>
        </w:r>
        <w:r w:rsidR="00485A78">
          <w:rPr>
            <w:noProof/>
            <w:webHidden/>
          </w:rPr>
          <w:fldChar w:fldCharType="end"/>
        </w:r>
      </w:hyperlink>
    </w:p>
    <w:p w14:paraId="44040985" w14:textId="77777777" w:rsidR="00990432" w:rsidRPr="00DC2B1D" w:rsidRDefault="00F917D9">
      <w:pPr>
        <w:pStyle w:val="TOC3"/>
        <w:rPr>
          <w:rFonts w:ascii="Calibri" w:hAnsi="Calibri"/>
          <w:sz w:val="22"/>
          <w:szCs w:val="22"/>
          <w:lang w:eastAsia="en-GB"/>
        </w:rPr>
      </w:pPr>
      <w:hyperlink w:anchor="_Toc470102489" w:history="1">
        <w:r w:rsidR="00990432" w:rsidRPr="00625C0A">
          <w:rPr>
            <w:rStyle w:val="Hyperlink"/>
            <w:lang w:eastAsia="en-GB"/>
          </w:rPr>
          <w:t>12.6.1</w:t>
        </w:r>
        <w:r w:rsidR="00990432" w:rsidRPr="00DC2B1D">
          <w:rPr>
            <w:rFonts w:ascii="Calibri" w:hAnsi="Calibri"/>
            <w:sz w:val="22"/>
            <w:szCs w:val="22"/>
            <w:lang w:eastAsia="en-GB"/>
          </w:rPr>
          <w:tab/>
        </w:r>
        <w:r w:rsidR="00990432" w:rsidRPr="00625C0A">
          <w:rPr>
            <w:rStyle w:val="Hyperlink"/>
            <w:lang w:eastAsia="en-GB"/>
          </w:rPr>
          <w:t>Samples</w:t>
        </w:r>
        <w:r w:rsidR="00990432">
          <w:rPr>
            <w:webHidden/>
          </w:rPr>
          <w:tab/>
        </w:r>
        <w:r w:rsidR="00485A78">
          <w:rPr>
            <w:webHidden/>
          </w:rPr>
          <w:fldChar w:fldCharType="begin"/>
        </w:r>
        <w:r w:rsidR="00990432">
          <w:rPr>
            <w:webHidden/>
          </w:rPr>
          <w:instrText xml:space="preserve"> PAGEREF _Toc470102489 \h </w:instrText>
        </w:r>
        <w:r w:rsidR="00485A78">
          <w:rPr>
            <w:webHidden/>
          </w:rPr>
        </w:r>
        <w:r w:rsidR="00485A78">
          <w:rPr>
            <w:webHidden/>
          </w:rPr>
          <w:fldChar w:fldCharType="separate"/>
        </w:r>
        <w:r w:rsidR="00827938">
          <w:rPr>
            <w:webHidden/>
          </w:rPr>
          <w:t>26</w:t>
        </w:r>
        <w:r w:rsidR="00485A78">
          <w:rPr>
            <w:webHidden/>
          </w:rPr>
          <w:fldChar w:fldCharType="end"/>
        </w:r>
      </w:hyperlink>
    </w:p>
    <w:p w14:paraId="69EE19F7" w14:textId="77777777" w:rsidR="00990432" w:rsidRPr="00DC2B1D" w:rsidRDefault="00F917D9">
      <w:pPr>
        <w:pStyle w:val="TOC3"/>
        <w:rPr>
          <w:rFonts w:ascii="Calibri" w:hAnsi="Calibri"/>
          <w:sz w:val="22"/>
          <w:szCs w:val="22"/>
          <w:lang w:eastAsia="en-GB"/>
        </w:rPr>
      </w:pPr>
      <w:hyperlink w:anchor="_Toc470102490" w:history="1">
        <w:r w:rsidR="00990432" w:rsidRPr="00625C0A">
          <w:rPr>
            <w:rStyle w:val="Hyperlink"/>
            <w:lang w:eastAsia="en-GB"/>
          </w:rPr>
          <w:t>12.6.2</w:t>
        </w:r>
        <w:r w:rsidR="00990432" w:rsidRPr="00DC2B1D">
          <w:rPr>
            <w:rFonts w:ascii="Calibri" w:hAnsi="Calibri"/>
            <w:sz w:val="22"/>
            <w:szCs w:val="22"/>
            <w:lang w:eastAsia="en-GB"/>
          </w:rPr>
          <w:tab/>
        </w:r>
        <w:r w:rsidR="00990432" w:rsidRPr="00625C0A">
          <w:rPr>
            <w:rStyle w:val="Hyperlink"/>
            <w:lang w:eastAsia="en-GB"/>
          </w:rPr>
          <w:t>Obtaining, labelling, storing at local site</w:t>
        </w:r>
        <w:r w:rsidR="00990432">
          <w:rPr>
            <w:webHidden/>
          </w:rPr>
          <w:tab/>
        </w:r>
        <w:r w:rsidR="00485A78">
          <w:rPr>
            <w:webHidden/>
          </w:rPr>
          <w:fldChar w:fldCharType="begin"/>
        </w:r>
        <w:r w:rsidR="00990432">
          <w:rPr>
            <w:webHidden/>
          </w:rPr>
          <w:instrText xml:space="preserve"> PAGEREF _Toc470102490 \h </w:instrText>
        </w:r>
        <w:r w:rsidR="00485A78">
          <w:rPr>
            <w:webHidden/>
          </w:rPr>
        </w:r>
        <w:r w:rsidR="00485A78">
          <w:rPr>
            <w:webHidden/>
          </w:rPr>
          <w:fldChar w:fldCharType="separate"/>
        </w:r>
        <w:r w:rsidR="00827938">
          <w:rPr>
            <w:webHidden/>
          </w:rPr>
          <w:t>26</w:t>
        </w:r>
        <w:r w:rsidR="00485A78">
          <w:rPr>
            <w:webHidden/>
          </w:rPr>
          <w:fldChar w:fldCharType="end"/>
        </w:r>
      </w:hyperlink>
    </w:p>
    <w:p w14:paraId="6E671316" w14:textId="77777777" w:rsidR="00990432" w:rsidRPr="00DC2B1D" w:rsidRDefault="00F917D9">
      <w:pPr>
        <w:pStyle w:val="TOC3"/>
        <w:rPr>
          <w:rFonts w:ascii="Calibri" w:hAnsi="Calibri"/>
          <w:sz w:val="22"/>
          <w:szCs w:val="22"/>
          <w:lang w:eastAsia="en-GB"/>
        </w:rPr>
      </w:pPr>
      <w:hyperlink w:anchor="_Toc470102491" w:history="1">
        <w:r w:rsidR="00990432" w:rsidRPr="00625C0A">
          <w:rPr>
            <w:rStyle w:val="Hyperlink"/>
            <w:rFonts w:cs="Tahoma"/>
            <w:lang w:eastAsia="en-GB"/>
          </w:rPr>
          <w:t>12.6.3</w:t>
        </w:r>
        <w:r w:rsidR="00990432" w:rsidRPr="00DC2B1D">
          <w:rPr>
            <w:rFonts w:ascii="Calibri" w:hAnsi="Calibri"/>
            <w:sz w:val="22"/>
            <w:szCs w:val="22"/>
            <w:lang w:eastAsia="en-GB"/>
          </w:rPr>
          <w:tab/>
        </w:r>
        <w:r w:rsidR="00990432" w:rsidRPr="00625C0A">
          <w:rPr>
            <w:rStyle w:val="Hyperlink"/>
            <w:rFonts w:cs="Tahoma"/>
            <w:lang w:eastAsia="en-GB"/>
          </w:rPr>
          <w:t>Laboratory procedures</w:t>
        </w:r>
        <w:r w:rsidR="00990432">
          <w:rPr>
            <w:webHidden/>
          </w:rPr>
          <w:tab/>
        </w:r>
        <w:r w:rsidR="00485A78">
          <w:rPr>
            <w:webHidden/>
          </w:rPr>
          <w:fldChar w:fldCharType="begin"/>
        </w:r>
        <w:r w:rsidR="00990432">
          <w:rPr>
            <w:webHidden/>
          </w:rPr>
          <w:instrText xml:space="preserve"> PAGEREF _Toc470102491 \h </w:instrText>
        </w:r>
        <w:r w:rsidR="00485A78">
          <w:rPr>
            <w:webHidden/>
          </w:rPr>
        </w:r>
        <w:r w:rsidR="00485A78">
          <w:rPr>
            <w:webHidden/>
          </w:rPr>
          <w:fldChar w:fldCharType="separate"/>
        </w:r>
        <w:r w:rsidR="00827938">
          <w:rPr>
            <w:webHidden/>
          </w:rPr>
          <w:t>27</w:t>
        </w:r>
        <w:r w:rsidR="00485A78">
          <w:rPr>
            <w:webHidden/>
          </w:rPr>
          <w:fldChar w:fldCharType="end"/>
        </w:r>
      </w:hyperlink>
    </w:p>
    <w:p w14:paraId="03542496" w14:textId="77777777" w:rsidR="00990432" w:rsidRPr="00DC2B1D" w:rsidRDefault="00F917D9" w:rsidP="00ED2F59">
      <w:pPr>
        <w:pStyle w:val="TOC1"/>
        <w:rPr>
          <w:noProof/>
          <w:sz w:val="22"/>
          <w:szCs w:val="22"/>
          <w:lang w:eastAsia="en-GB"/>
        </w:rPr>
      </w:pPr>
      <w:hyperlink w:anchor="_Toc470102492" w:history="1">
        <w:r w:rsidR="00990432" w:rsidRPr="00625C0A">
          <w:rPr>
            <w:rStyle w:val="Hyperlink"/>
            <w:noProof/>
          </w:rPr>
          <w:t>13</w:t>
        </w:r>
        <w:r w:rsidR="00990432" w:rsidRPr="00DC2B1D">
          <w:rPr>
            <w:noProof/>
            <w:sz w:val="22"/>
            <w:szCs w:val="22"/>
            <w:lang w:eastAsia="en-GB"/>
          </w:rPr>
          <w:tab/>
        </w:r>
        <w:r w:rsidR="00990432" w:rsidRPr="00625C0A">
          <w:rPr>
            <w:rStyle w:val="Hyperlink"/>
            <w:noProof/>
          </w:rPr>
          <w:t>Pharmacovigilance</w:t>
        </w:r>
        <w:r w:rsidR="00990432">
          <w:rPr>
            <w:noProof/>
            <w:webHidden/>
          </w:rPr>
          <w:tab/>
        </w:r>
        <w:r w:rsidR="00485A78">
          <w:rPr>
            <w:noProof/>
            <w:webHidden/>
          </w:rPr>
          <w:fldChar w:fldCharType="begin"/>
        </w:r>
        <w:r w:rsidR="00990432">
          <w:rPr>
            <w:noProof/>
            <w:webHidden/>
          </w:rPr>
          <w:instrText xml:space="preserve"> PAGEREF _Toc470102492 \h </w:instrText>
        </w:r>
        <w:r w:rsidR="00485A78">
          <w:rPr>
            <w:noProof/>
            <w:webHidden/>
          </w:rPr>
        </w:r>
        <w:r w:rsidR="00485A78">
          <w:rPr>
            <w:noProof/>
            <w:webHidden/>
          </w:rPr>
          <w:fldChar w:fldCharType="separate"/>
        </w:r>
        <w:r w:rsidR="00827938">
          <w:rPr>
            <w:noProof/>
            <w:webHidden/>
          </w:rPr>
          <w:t>27</w:t>
        </w:r>
        <w:r w:rsidR="00485A78">
          <w:rPr>
            <w:noProof/>
            <w:webHidden/>
          </w:rPr>
          <w:fldChar w:fldCharType="end"/>
        </w:r>
      </w:hyperlink>
    </w:p>
    <w:p w14:paraId="4E0C500E" w14:textId="77777777" w:rsidR="00990432" w:rsidRPr="00DC2B1D" w:rsidRDefault="00F917D9">
      <w:pPr>
        <w:pStyle w:val="TOC2"/>
        <w:tabs>
          <w:tab w:val="left" w:pos="880"/>
          <w:tab w:val="right" w:leader="dot" w:pos="9016"/>
        </w:tabs>
        <w:rPr>
          <w:noProof/>
          <w:sz w:val="22"/>
          <w:szCs w:val="22"/>
          <w:lang w:eastAsia="en-GB"/>
        </w:rPr>
      </w:pPr>
      <w:hyperlink w:anchor="_Toc470102493" w:history="1">
        <w:r w:rsidR="00990432" w:rsidRPr="00625C0A">
          <w:rPr>
            <w:rStyle w:val="Hyperlink"/>
            <w:rFonts w:cs="Tahoma"/>
            <w:noProof/>
          </w:rPr>
          <w:t>13.1</w:t>
        </w:r>
        <w:r w:rsidR="00990432" w:rsidRPr="00DC2B1D">
          <w:rPr>
            <w:noProof/>
            <w:sz w:val="22"/>
            <w:szCs w:val="22"/>
            <w:lang w:eastAsia="en-GB"/>
          </w:rPr>
          <w:tab/>
        </w:r>
        <w:r w:rsidR="00990432" w:rsidRPr="00625C0A">
          <w:rPr>
            <w:rStyle w:val="Hyperlink"/>
            <w:rFonts w:cs="Tahoma"/>
            <w:noProof/>
          </w:rPr>
          <w:t>Definitions</w:t>
        </w:r>
        <w:r w:rsidR="00990432">
          <w:rPr>
            <w:noProof/>
            <w:webHidden/>
          </w:rPr>
          <w:tab/>
        </w:r>
        <w:r w:rsidR="00485A78">
          <w:rPr>
            <w:noProof/>
            <w:webHidden/>
          </w:rPr>
          <w:fldChar w:fldCharType="begin"/>
        </w:r>
        <w:r w:rsidR="00990432">
          <w:rPr>
            <w:noProof/>
            <w:webHidden/>
          </w:rPr>
          <w:instrText xml:space="preserve"> PAGEREF _Toc470102493 \h </w:instrText>
        </w:r>
        <w:r w:rsidR="00485A78">
          <w:rPr>
            <w:noProof/>
            <w:webHidden/>
          </w:rPr>
        </w:r>
        <w:r w:rsidR="00485A78">
          <w:rPr>
            <w:noProof/>
            <w:webHidden/>
          </w:rPr>
          <w:fldChar w:fldCharType="separate"/>
        </w:r>
        <w:r w:rsidR="00827938">
          <w:rPr>
            <w:noProof/>
            <w:webHidden/>
          </w:rPr>
          <w:t>27</w:t>
        </w:r>
        <w:r w:rsidR="00485A78">
          <w:rPr>
            <w:noProof/>
            <w:webHidden/>
          </w:rPr>
          <w:fldChar w:fldCharType="end"/>
        </w:r>
      </w:hyperlink>
    </w:p>
    <w:p w14:paraId="49680074" w14:textId="77777777" w:rsidR="00990432" w:rsidRPr="00DC2B1D" w:rsidRDefault="00F917D9">
      <w:pPr>
        <w:pStyle w:val="TOC2"/>
        <w:tabs>
          <w:tab w:val="left" w:pos="880"/>
          <w:tab w:val="right" w:leader="dot" w:pos="9016"/>
        </w:tabs>
        <w:rPr>
          <w:noProof/>
          <w:sz w:val="22"/>
          <w:szCs w:val="22"/>
          <w:lang w:eastAsia="en-GB"/>
        </w:rPr>
      </w:pPr>
      <w:hyperlink w:anchor="_Toc470102494" w:history="1">
        <w:r w:rsidR="00990432" w:rsidRPr="00625C0A">
          <w:rPr>
            <w:rStyle w:val="Hyperlink"/>
            <w:noProof/>
          </w:rPr>
          <w:t>13.2</w:t>
        </w:r>
        <w:r w:rsidR="00990432" w:rsidRPr="00DC2B1D">
          <w:rPr>
            <w:noProof/>
            <w:sz w:val="22"/>
            <w:szCs w:val="22"/>
            <w:lang w:eastAsia="en-GB"/>
          </w:rPr>
          <w:tab/>
        </w:r>
        <w:r w:rsidR="00990432" w:rsidRPr="00625C0A">
          <w:rPr>
            <w:rStyle w:val="Hyperlink"/>
            <w:noProof/>
          </w:rPr>
          <w:t>Investigator responsibilities relating to safety reporting</w:t>
        </w:r>
        <w:r w:rsidR="00990432">
          <w:rPr>
            <w:noProof/>
            <w:webHidden/>
          </w:rPr>
          <w:tab/>
        </w:r>
        <w:r w:rsidR="00485A78">
          <w:rPr>
            <w:noProof/>
            <w:webHidden/>
          </w:rPr>
          <w:fldChar w:fldCharType="begin"/>
        </w:r>
        <w:r w:rsidR="00990432">
          <w:rPr>
            <w:noProof/>
            <w:webHidden/>
          </w:rPr>
          <w:instrText xml:space="preserve"> PAGEREF _Toc470102494 \h </w:instrText>
        </w:r>
        <w:r w:rsidR="00485A78">
          <w:rPr>
            <w:noProof/>
            <w:webHidden/>
          </w:rPr>
        </w:r>
        <w:r w:rsidR="00485A78">
          <w:rPr>
            <w:noProof/>
            <w:webHidden/>
          </w:rPr>
          <w:fldChar w:fldCharType="separate"/>
        </w:r>
        <w:r w:rsidR="00827938">
          <w:rPr>
            <w:noProof/>
            <w:webHidden/>
          </w:rPr>
          <w:t>28</w:t>
        </w:r>
        <w:r w:rsidR="00485A78">
          <w:rPr>
            <w:noProof/>
            <w:webHidden/>
          </w:rPr>
          <w:fldChar w:fldCharType="end"/>
        </w:r>
      </w:hyperlink>
    </w:p>
    <w:p w14:paraId="35E64B0B" w14:textId="77777777" w:rsidR="00990432" w:rsidRPr="00DC2B1D" w:rsidRDefault="00F917D9">
      <w:pPr>
        <w:pStyle w:val="TOC2"/>
        <w:tabs>
          <w:tab w:val="left" w:pos="880"/>
          <w:tab w:val="right" w:leader="dot" w:pos="9016"/>
        </w:tabs>
        <w:rPr>
          <w:noProof/>
          <w:sz w:val="22"/>
          <w:szCs w:val="22"/>
          <w:lang w:eastAsia="en-GB"/>
        </w:rPr>
      </w:pPr>
      <w:hyperlink w:anchor="_Toc470102495" w:history="1">
        <w:r w:rsidR="00990432" w:rsidRPr="00625C0A">
          <w:rPr>
            <w:rStyle w:val="Hyperlink"/>
            <w:rFonts w:cs="Tahoma"/>
            <w:noProof/>
          </w:rPr>
          <w:t>13.3</w:t>
        </w:r>
        <w:r w:rsidR="00990432" w:rsidRPr="00DC2B1D">
          <w:rPr>
            <w:noProof/>
            <w:sz w:val="22"/>
            <w:szCs w:val="22"/>
            <w:lang w:eastAsia="en-GB"/>
          </w:rPr>
          <w:tab/>
        </w:r>
        <w:r w:rsidR="00990432" w:rsidRPr="00625C0A">
          <w:rPr>
            <w:rStyle w:val="Hyperlink"/>
            <w:rFonts w:cs="Tahoma"/>
            <w:noProof/>
          </w:rPr>
          <w:t>Notification of deaths</w:t>
        </w:r>
        <w:r w:rsidR="00990432">
          <w:rPr>
            <w:noProof/>
            <w:webHidden/>
          </w:rPr>
          <w:tab/>
        </w:r>
        <w:r w:rsidR="00485A78">
          <w:rPr>
            <w:noProof/>
            <w:webHidden/>
          </w:rPr>
          <w:fldChar w:fldCharType="begin"/>
        </w:r>
        <w:r w:rsidR="00990432">
          <w:rPr>
            <w:noProof/>
            <w:webHidden/>
          </w:rPr>
          <w:instrText xml:space="preserve"> PAGEREF _Toc470102495 \h </w:instrText>
        </w:r>
        <w:r w:rsidR="00485A78">
          <w:rPr>
            <w:noProof/>
            <w:webHidden/>
          </w:rPr>
        </w:r>
        <w:r w:rsidR="00485A78">
          <w:rPr>
            <w:noProof/>
            <w:webHidden/>
          </w:rPr>
          <w:fldChar w:fldCharType="separate"/>
        </w:r>
        <w:r w:rsidR="00827938">
          <w:rPr>
            <w:noProof/>
            <w:webHidden/>
          </w:rPr>
          <w:t>30</w:t>
        </w:r>
        <w:r w:rsidR="00485A78">
          <w:rPr>
            <w:noProof/>
            <w:webHidden/>
          </w:rPr>
          <w:fldChar w:fldCharType="end"/>
        </w:r>
      </w:hyperlink>
    </w:p>
    <w:p w14:paraId="5ED9A3DC" w14:textId="77777777" w:rsidR="00990432" w:rsidRPr="00DC2B1D" w:rsidRDefault="00F917D9">
      <w:pPr>
        <w:pStyle w:val="TOC2"/>
        <w:tabs>
          <w:tab w:val="left" w:pos="880"/>
          <w:tab w:val="right" w:leader="dot" w:pos="9016"/>
        </w:tabs>
        <w:rPr>
          <w:noProof/>
          <w:sz w:val="22"/>
          <w:szCs w:val="22"/>
          <w:lang w:eastAsia="en-GB"/>
        </w:rPr>
      </w:pPr>
      <w:hyperlink w:anchor="_Toc470102496" w:history="1">
        <w:r w:rsidR="00990432" w:rsidRPr="00625C0A">
          <w:rPr>
            <w:rStyle w:val="Hyperlink"/>
            <w:rFonts w:cs="Tahoma"/>
            <w:noProof/>
          </w:rPr>
          <w:t>13.4</w:t>
        </w:r>
        <w:r w:rsidR="00990432" w:rsidRPr="00DC2B1D">
          <w:rPr>
            <w:noProof/>
            <w:sz w:val="22"/>
            <w:szCs w:val="22"/>
            <w:lang w:eastAsia="en-GB"/>
          </w:rPr>
          <w:tab/>
        </w:r>
        <w:r w:rsidR="00990432" w:rsidRPr="00625C0A">
          <w:rPr>
            <w:rStyle w:val="Hyperlink"/>
            <w:rFonts w:cs="Tahoma"/>
            <w:noProof/>
          </w:rPr>
          <w:t>Annual Progress Reports (APRs)</w:t>
        </w:r>
        <w:r w:rsidR="00990432">
          <w:rPr>
            <w:noProof/>
            <w:webHidden/>
          </w:rPr>
          <w:tab/>
        </w:r>
        <w:r w:rsidR="00485A78">
          <w:rPr>
            <w:noProof/>
            <w:webHidden/>
          </w:rPr>
          <w:fldChar w:fldCharType="begin"/>
        </w:r>
        <w:r w:rsidR="00990432">
          <w:rPr>
            <w:noProof/>
            <w:webHidden/>
          </w:rPr>
          <w:instrText xml:space="preserve"> PAGEREF _Toc470102496 \h </w:instrText>
        </w:r>
        <w:r w:rsidR="00485A78">
          <w:rPr>
            <w:noProof/>
            <w:webHidden/>
          </w:rPr>
        </w:r>
        <w:r w:rsidR="00485A78">
          <w:rPr>
            <w:noProof/>
            <w:webHidden/>
          </w:rPr>
          <w:fldChar w:fldCharType="separate"/>
        </w:r>
        <w:r w:rsidR="00827938">
          <w:rPr>
            <w:noProof/>
            <w:webHidden/>
          </w:rPr>
          <w:t>30</w:t>
        </w:r>
        <w:r w:rsidR="00485A78">
          <w:rPr>
            <w:noProof/>
            <w:webHidden/>
          </w:rPr>
          <w:fldChar w:fldCharType="end"/>
        </w:r>
      </w:hyperlink>
    </w:p>
    <w:p w14:paraId="5E7017F8" w14:textId="77777777" w:rsidR="00990432" w:rsidRPr="00DC2B1D" w:rsidRDefault="00F917D9">
      <w:pPr>
        <w:pStyle w:val="TOC2"/>
        <w:tabs>
          <w:tab w:val="left" w:pos="880"/>
          <w:tab w:val="right" w:leader="dot" w:pos="9016"/>
        </w:tabs>
        <w:rPr>
          <w:noProof/>
          <w:sz w:val="22"/>
          <w:szCs w:val="22"/>
          <w:lang w:eastAsia="en-GB"/>
        </w:rPr>
      </w:pPr>
      <w:hyperlink w:anchor="_Toc470102497" w:history="1">
        <w:r w:rsidR="00990432" w:rsidRPr="00625C0A">
          <w:rPr>
            <w:rStyle w:val="Hyperlink"/>
            <w:rFonts w:cs="Tahoma"/>
            <w:noProof/>
          </w:rPr>
          <w:t>13.5</w:t>
        </w:r>
        <w:r w:rsidR="00990432" w:rsidRPr="00DC2B1D">
          <w:rPr>
            <w:noProof/>
            <w:sz w:val="22"/>
            <w:szCs w:val="22"/>
            <w:lang w:eastAsia="en-GB"/>
          </w:rPr>
          <w:tab/>
        </w:r>
        <w:r w:rsidR="00990432" w:rsidRPr="00625C0A">
          <w:rPr>
            <w:rStyle w:val="Hyperlink"/>
            <w:rFonts w:cs="Tahoma"/>
            <w:noProof/>
          </w:rPr>
          <w:t>Reporting Urgent Safety Measures</w:t>
        </w:r>
        <w:r w:rsidR="00990432">
          <w:rPr>
            <w:noProof/>
            <w:webHidden/>
          </w:rPr>
          <w:tab/>
        </w:r>
        <w:r w:rsidR="00485A78">
          <w:rPr>
            <w:noProof/>
            <w:webHidden/>
          </w:rPr>
          <w:fldChar w:fldCharType="begin"/>
        </w:r>
        <w:r w:rsidR="00990432">
          <w:rPr>
            <w:noProof/>
            <w:webHidden/>
          </w:rPr>
          <w:instrText xml:space="preserve"> PAGEREF _Toc470102497 \h </w:instrText>
        </w:r>
        <w:r w:rsidR="00485A78">
          <w:rPr>
            <w:noProof/>
            <w:webHidden/>
          </w:rPr>
        </w:r>
        <w:r w:rsidR="00485A78">
          <w:rPr>
            <w:noProof/>
            <w:webHidden/>
          </w:rPr>
          <w:fldChar w:fldCharType="separate"/>
        </w:r>
        <w:r w:rsidR="00827938">
          <w:rPr>
            <w:noProof/>
            <w:webHidden/>
          </w:rPr>
          <w:t>30</w:t>
        </w:r>
        <w:r w:rsidR="00485A78">
          <w:rPr>
            <w:noProof/>
            <w:webHidden/>
          </w:rPr>
          <w:fldChar w:fldCharType="end"/>
        </w:r>
      </w:hyperlink>
    </w:p>
    <w:p w14:paraId="0D547843" w14:textId="77777777" w:rsidR="00990432" w:rsidRPr="00DC2B1D" w:rsidRDefault="00F917D9">
      <w:pPr>
        <w:pStyle w:val="TOC2"/>
        <w:tabs>
          <w:tab w:val="left" w:pos="880"/>
          <w:tab w:val="right" w:leader="dot" w:pos="9016"/>
        </w:tabs>
        <w:rPr>
          <w:noProof/>
          <w:sz w:val="22"/>
          <w:szCs w:val="22"/>
          <w:lang w:eastAsia="en-GB"/>
        </w:rPr>
      </w:pPr>
      <w:hyperlink w:anchor="_Toc470102498" w:history="1">
        <w:r w:rsidR="00990432" w:rsidRPr="00625C0A">
          <w:rPr>
            <w:rStyle w:val="Hyperlink"/>
            <w:rFonts w:cs="Tahoma"/>
            <w:noProof/>
          </w:rPr>
          <w:t>13.6</w:t>
        </w:r>
        <w:r w:rsidR="00990432" w:rsidRPr="00DC2B1D">
          <w:rPr>
            <w:noProof/>
            <w:sz w:val="22"/>
            <w:szCs w:val="22"/>
            <w:lang w:eastAsia="en-GB"/>
          </w:rPr>
          <w:tab/>
        </w:r>
        <w:r w:rsidR="00990432" w:rsidRPr="00625C0A">
          <w:rPr>
            <w:rStyle w:val="Hyperlink"/>
            <w:rFonts w:cs="Tahoma"/>
            <w:noProof/>
          </w:rPr>
          <w:t>Notification of Serious Breaches of GCP and/or the protocol</w:t>
        </w:r>
        <w:r w:rsidR="00990432">
          <w:rPr>
            <w:noProof/>
            <w:webHidden/>
          </w:rPr>
          <w:tab/>
        </w:r>
        <w:r w:rsidR="00485A78">
          <w:rPr>
            <w:noProof/>
            <w:webHidden/>
          </w:rPr>
          <w:fldChar w:fldCharType="begin"/>
        </w:r>
        <w:r w:rsidR="00990432">
          <w:rPr>
            <w:noProof/>
            <w:webHidden/>
          </w:rPr>
          <w:instrText xml:space="preserve"> PAGEREF _Toc470102498 \h </w:instrText>
        </w:r>
        <w:r w:rsidR="00485A78">
          <w:rPr>
            <w:noProof/>
            <w:webHidden/>
          </w:rPr>
        </w:r>
        <w:r w:rsidR="00485A78">
          <w:rPr>
            <w:noProof/>
            <w:webHidden/>
          </w:rPr>
          <w:fldChar w:fldCharType="separate"/>
        </w:r>
        <w:r w:rsidR="00827938">
          <w:rPr>
            <w:noProof/>
            <w:webHidden/>
          </w:rPr>
          <w:t>30</w:t>
        </w:r>
        <w:r w:rsidR="00485A78">
          <w:rPr>
            <w:noProof/>
            <w:webHidden/>
          </w:rPr>
          <w:fldChar w:fldCharType="end"/>
        </w:r>
      </w:hyperlink>
    </w:p>
    <w:p w14:paraId="7C965CC8" w14:textId="77777777" w:rsidR="00990432" w:rsidRPr="00DC2B1D" w:rsidRDefault="00F917D9" w:rsidP="00ED2F59">
      <w:pPr>
        <w:pStyle w:val="TOC1"/>
        <w:rPr>
          <w:noProof/>
          <w:sz w:val="22"/>
          <w:szCs w:val="22"/>
          <w:lang w:eastAsia="en-GB"/>
        </w:rPr>
      </w:pPr>
      <w:hyperlink w:anchor="_Toc470102499" w:history="1">
        <w:r w:rsidR="00990432" w:rsidRPr="00625C0A">
          <w:rPr>
            <w:rStyle w:val="Hyperlink"/>
            <w:noProof/>
          </w:rPr>
          <w:t>14</w:t>
        </w:r>
        <w:r w:rsidR="00990432" w:rsidRPr="00DC2B1D">
          <w:rPr>
            <w:noProof/>
            <w:sz w:val="22"/>
            <w:szCs w:val="22"/>
            <w:lang w:eastAsia="en-GB"/>
          </w:rPr>
          <w:tab/>
        </w:r>
        <w:r w:rsidR="00990432" w:rsidRPr="00625C0A">
          <w:rPr>
            <w:rStyle w:val="Hyperlink"/>
            <w:noProof/>
          </w:rPr>
          <w:t>Data management and quality assurance</w:t>
        </w:r>
        <w:r w:rsidR="00990432">
          <w:rPr>
            <w:noProof/>
            <w:webHidden/>
          </w:rPr>
          <w:tab/>
        </w:r>
        <w:r w:rsidR="00485A78">
          <w:rPr>
            <w:noProof/>
            <w:webHidden/>
          </w:rPr>
          <w:fldChar w:fldCharType="begin"/>
        </w:r>
        <w:r w:rsidR="00990432">
          <w:rPr>
            <w:noProof/>
            <w:webHidden/>
          </w:rPr>
          <w:instrText xml:space="preserve"> PAGEREF _Toc470102499 \h </w:instrText>
        </w:r>
        <w:r w:rsidR="00485A78">
          <w:rPr>
            <w:noProof/>
            <w:webHidden/>
          </w:rPr>
        </w:r>
        <w:r w:rsidR="00485A78">
          <w:rPr>
            <w:noProof/>
            <w:webHidden/>
          </w:rPr>
          <w:fldChar w:fldCharType="separate"/>
        </w:r>
        <w:r w:rsidR="00827938">
          <w:rPr>
            <w:noProof/>
            <w:webHidden/>
          </w:rPr>
          <w:t>31</w:t>
        </w:r>
        <w:r w:rsidR="00485A78">
          <w:rPr>
            <w:noProof/>
            <w:webHidden/>
          </w:rPr>
          <w:fldChar w:fldCharType="end"/>
        </w:r>
      </w:hyperlink>
    </w:p>
    <w:p w14:paraId="2F725892" w14:textId="77777777" w:rsidR="00990432" w:rsidRPr="00DC2B1D" w:rsidRDefault="00F917D9">
      <w:pPr>
        <w:pStyle w:val="TOC2"/>
        <w:tabs>
          <w:tab w:val="left" w:pos="880"/>
          <w:tab w:val="right" w:leader="dot" w:pos="9016"/>
        </w:tabs>
        <w:rPr>
          <w:noProof/>
          <w:sz w:val="22"/>
          <w:szCs w:val="22"/>
          <w:lang w:eastAsia="en-GB"/>
        </w:rPr>
      </w:pPr>
      <w:hyperlink w:anchor="_Toc470102500" w:history="1">
        <w:r w:rsidR="00990432" w:rsidRPr="00625C0A">
          <w:rPr>
            <w:rStyle w:val="Hyperlink"/>
            <w:rFonts w:cs="Tahoma"/>
            <w:noProof/>
          </w:rPr>
          <w:t>14.1</w:t>
        </w:r>
        <w:r w:rsidR="00990432" w:rsidRPr="00DC2B1D">
          <w:rPr>
            <w:noProof/>
            <w:sz w:val="22"/>
            <w:szCs w:val="22"/>
            <w:lang w:eastAsia="en-GB"/>
          </w:rPr>
          <w:tab/>
        </w:r>
        <w:r w:rsidR="00990432" w:rsidRPr="00625C0A">
          <w:rPr>
            <w:rStyle w:val="Hyperlink"/>
            <w:rFonts w:cs="Tahoma"/>
            <w:noProof/>
          </w:rPr>
          <w:t>Confidentiality</w:t>
        </w:r>
        <w:r w:rsidR="00990432">
          <w:rPr>
            <w:noProof/>
            <w:webHidden/>
          </w:rPr>
          <w:tab/>
        </w:r>
        <w:r w:rsidR="00485A78">
          <w:rPr>
            <w:noProof/>
            <w:webHidden/>
          </w:rPr>
          <w:fldChar w:fldCharType="begin"/>
        </w:r>
        <w:r w:rsidR="00990432">
          <w:rPr>
            <w:noProof/>
            <w:webHidden/>
          </w:rPr>
          <w:instrText xml:space="preserve"> PAGEREF _Toc470102500 \h </w:instrText>
        </w:r>
        <w:r w:rsidR="00485A78">
          <w:rPr>
            <w:noProof/>
            <w:webHidden/>
          </w:rPr>
        </w:r>
        <w:r w:rsidR="00485A78">
          <w:rPr>
            <w:noProof/>
            <w:webHidden/>
          </w:rPr>
          <w:fldChar w:fldCharType="separate"/>
        </w:r>
        <w:r w:rsidR="00827938">
          <w:rPr>
            <w:noProof/>
            <w:webHidden/>
          </w:rPr>
          <w:t>31</w:t>
        </w:r>
        <w:r w:rsidR="00485A78">
          <w:rPr>
            <w:noProof/>
            <w:webHidden/>
          </w:rPr>
          <w:fldChar w:fldCharType="end"/>
        </w:r>
      </w:hyperlink>
    </w:p>
    <w:p w14:paraId="50BCB2E1" w14:textId="77777777" w:rsidR="00990432" w:rsidRPr="00DC2B1D" w:rsidRDefault="00F917D9">
      <w:pPr>
        <w:pStyle w:val="TOC2"/>
        <w:tabs>
          <w:tab w:val="left" w:pos="880"/>
          <w:tab w:val="right" w:leader="dot" w:pos="9016"/>
        </w:tabs>
        <w:rPr>
          <w:noProof/>
          <w:sz w:val="22"/>
          <w:szCs w:val="22"/>
          <w:lang w:eastAsia="en-GB"/>
        </w:rPr>
      </w:pPr>
      <w:hyperlink w:anchor="_Toc470102501" w:history="1">
        <w:r w:rsidR="00990432" w:rsidRPr="00625C0A">
          <w:rPr>
            <w:rStyle w:val="Hyperlink"/>
            <w:rFonts w:cs="Tahoma"/>
            <w:noProof/>
          </w:rPr>
          <w:t>14.2</w:t>
        </w:r>
        <w:r w:rsidR="00990432" w:rsidRPr="00DC2B1D">
          <w:rPr>
            <w:noProof/>
            <w:sz w:val="22"/>
            <w:szCs w:val="22"/>
            <w:lang w:eastAsia="en-GB"/>
          </w:rPr>
          <w:tab/>
        </w:r>
        <w:r w:rsidR="00990432" w:rsidRPr="00625C0A">
          <w:rPr>
            <w:rStyle w:val="Hyperlink"/>
            <w:rFonts w:cs="Tahoma"/>
            <w:noProof/>
          </w:rPr>
          <w:t>Data collection tool</w:t>
        </w:r>
        <w:r w:rsidR="00990432">
          <w:rPr>
            <w:noProof/>
            <w:webHidden/>
          </w:rPr>
          <w:tab/>
        </w:r>
        <w:r w:rsidR="00485A78">
          <w:rPr>
            <w:noProof/>
            <w:webHidden/>
          </w:rPr>
          <w:fldChar w:fldCharType="begin"/>
        </w:r>
        <w:r w:rsidR="00990432">
          <w:rPr>
            <w:noProof/>
            <w:webHidden/>
          </w:rPr>
          <w:instrText xml:space="preserve"> PAGEREF _Toc470102501 \h </w:instrText>
        </w:r>
        <w:r w:rsidR="00485A78">
          <w:rPr>
            <w:noProof/>
            <w:webHidden/>
          </w:rPr>
        </w:r>
        <w:r w:rsidR="00485A78">
          <w:rPr>
            <w:noProof/>
            <w:webHidden/>
          </w:rPr>
          <w:fldChar w:fldCharType="separate"/>
        </w:r>
        <w:r w:rsidR="00827938">
          <w:rPr>
            <w:noProof/>
            <w:webHidden/>
          </w:rPr>
          <w:t>31</w:t>
        </w:r>
        <w:r w:rsidR="00485A78">
          <w:rPr>
            <w:noProof/>
            <w:webHidden/>
          </w:rPr>
          <w:fldChar w:fldCharType="end"/>
        </w:r>
      </w:hyperlink>
    </w:p>
    <w:p w14:paraId="72273368" w14:textId="77777777" w:rsidR="00990432" w:rsidRPr="00DC2B1D" w:rsidRDefault="00F917D9">
      <w:pPr>
        <w:pStyle w:val="TOC2"/>
        <w:tabs>
          <w:tab w:val="left" w:pos="880"/>
          <w:tab w:val="right" w:leader="dot" w:pos="9016"/>
        </w:tabs>
        <w:rPr>
          <w:noProof/>
          <w:sz w:val="22"/>
          <w:szCs w:val="22"/>
          <w:lang w:eastAsia="en-GB"/>
        </w:rPr>
      </w:pPr>
      <w:hyperlink w:anchor="_Toc470102502" w:history="1">
        <w:r w:rsidR="00990432" w:rsidRPr="00625C0A">
          <w:rPr>
            <w:rStyle w:val="Hyperlink"/>
            <w:rFonts w:cs="Tahoma"/>
            <w:noProof/>
          </w:rPr>
          <w:t>14.3</w:t>
        </w:r>
        <w:r w:rsidR="00990432" w:rsidRPr="00DC2B1D">
          <w:rPr>
            <w:noProof/>
            <w:sz w:val="22"/>
            <w:szCs w:val="22"/>
            <w:lang w:eastAsia="en-GB"/>
          </w:rPr>
          <w:tab/>
        </w:r>
        <w:r w:rsidR="00990432" w:rsidRPr="00625C0A">
          <w:rPr>
            <w:rStyle w:val="Hyperlink"/>
            <w:rFonts w:cs="Tahoma"/>
            <w:noProof/>
          </w:rPr>
          <w:t>Data handling and analysis</w:t>
        </w:r>
        <w:r w:rsidR="00990432">
          <w:rPr>
            <w:noProof/>
            <w:webHidden/>
          </w:rPr>
          <w:tab/>
        </w:r>
        <w:r w:rsidR="00485A78">
          <w:rPr>
            <w:noProof/>
            <w:webHidden/>
          </w:rPr>
          <w:fldChar w:fldCharType="begin"/>
        </w:r>
        <w:r w:rsidR="00990432">
          <w:rPr>
            <w:noProof/>
            <w:webHidden/>
          </w:rPr>
          <w:instrText xml:space="preserve"> PAGEREF _Toc470102502 \h </w:instrText>
        </w:r>
        <w:r w:rsidR="00485A78">
          <w:rPr>
            <w:noProof/>
            <w:webHidden/>
          </w:rPr>
        </w:r>
        <w:r w:rsidR="00485A78">
          <w:rPr>
            <w:noProof/>
            <w:webHidden/>
          </w:rPr>
          <w:fldChar w:fldCharType="separate"/>
        </w:r>
        <w:r w:rsidR="00827938">
          <w:rPr>
            <w:noProof/>
            <w:webHidden/>
          </w:rPr>
          <w:t>31</w:t>
        </w:r>
        <w:r w:rsidR="00485A78">
          <w:rPr>
            <w:noProof/>
            <w:webHidden/>
          </w:rPr>
          <w:fldChar w:fldCharType="end"/>
        </w:r>
      </w:hyperlink>
    </w:p>
    <w:p w14:paraId="64EC1C88" w14:textId="77777777" w:rsidR="00990432" w:rsidRPr="00DC2B1D" w:rsidRDefault="00F917D9" w:rsidP="00ED2F59">
      <w:pPr>
        <w:pStyle w:val="TOC1"/>
        <w:rPr>
          <w:noProof/>
          <w:sz w:val="22"/>
          <w:szCs w:val="22"/>
          <w:lang w:eastAsia="en-GB"/>
        </w:rPr>
      </w:pPr>
      <w:hyperlink w:anchor="_Toc470102503" w:history="1">
        <w:r w:rsidR="00990432" w:rsidRPr="00625C0A">
          <w:rPr>
            <w:rStyle w:val="Hyperlink"/>
            <w:noProof/>
          </w:rPr>
          <w:t>15</w:t>
        </w:r>
        <w:r w:rsidR="00990432" w:rsidRPr="00DC2B1D">
          <w:rPr>
            <w:noProof/>
            <w:sz w:val="22"/>
            <w:szCs w:val="22"/>
            <w:lang w:eastAsia="en-GB"/>
          </w:rPr>
          <w:tab/>
        </w:r>
        <w:r w:rsidR="00990432" w:rsidRPr="00625C0A">
          <w:rPr>
            <w:rStyle w:val="Hyperlink"/>
            <w:noProof/>
          </w:rPr>
          <w:t>Archiving arrangements</w:t>
        </w:r>
        <w:r w:rsidR="00990432">
          <w:rPr>
            <w:noProof/>
            <w:webHidden/>
          </w:rPr>
          <w:tab/>
        </w:r>
        <w:r w:rsidR="00485A78">
          <w:rPr>
            <w:noProof/>
            <w:webHidden/>
          </w:rPr>
          <w:fldChar w:fldCharType="begin"/>
        </w:r>
        <w:r w:rsidR="00990432">
          <w:rPr>
            <w:noProof/>
            <w:webHidden/>
          </w:rPr>
          <w:instrText xml:space="preserve"> PAGEREF _Toc470102503 \h </w:instrText>
        </w:r>
        <w:r w:rsidR="00485A78">
          <w:rPr>
            <w:noProof/>
            <w:webHidden/>
          </w:rPr>
        </w:r>
        <w:r w:rsidR="00485A78">
          <w:rPr>
            <w:noProof/>
            <w:webHidden/>
          </w:rPr>
          <w:fldChar w:fldCharType="separate"/>
        </w:r>
        <w:r w:rsidR="00827938">
          <w:rPr>
            <w:noProof/>
            <w:webHidden/>
          </w:rPr>
          <w:t>32</w:t>
        </w:r>
        <w:r w:rsidR="00485A78">
          <w:rPr>
            <w:noProof/>
            <w:webHidden/>
          </w:rPr>
          <w:fldChar w:fldCharType="end"/>
        </w:r>
      </w:hyperlink>
    </w:p>
    <w:p w14:paraId="510F8212" w14:textId="77777777" w:rsidR="00990432" w:rsidRPr="00DC2B1D" w:rsidRDefault="00F917D9" w:rsidP="00ED2F59">
      <w:pPr>
        <w:pStyle w:val="TOC1"/>
        <w:rPr>
          <w:noProof/>
          <w:sz w:val="22"/>
          <w:szCs w:val="22"/>
          <w:lang w:eastAsia="en-GB"/>
        </w:rPr>
      </w:pPr>
      <w:hyperlink w:anchor="_Toc470102504" w:history="1">
        <w:r w:rsidR="00990432" w:rsidRPr="00625C0A">
          <w:rPr>
            <w:rStyle w:val="Hyperlink"/>
            <w:noProof/>
          </w:rPr>
          <w:t>16</w:t>
        </w:r>
        <w:r w:rsidR="00990432" w:rsidRPr="00DC2B1D">
          <w:rPr>
            <w:noProof/>
            <w:sz w:val="22"/>
            <w:szCs w:val="22"/>
            <w:lang w:eastAsia="en-GB"/>
          </w:rPr>
          <w:tab/>
        </w:r>
        <w:r w:rsidR="00990432" w:rsidRPr="00625C0A">
          <w:rPr>
            <w:rStyle w:val="Hyperlink"/>
            <w:noProof/>
          </w:rPr>
          <w:t>Statistical design</w:t>
        </w:r>
        <w:r w:rsidR="00990432">
          <w:rPr>
            <w:noProof/>
            <w:webHidden/>
          </w:rPr>
          <w:tab/>
        </w:r>
        <w:r w:rsidR="00485A78">
          <w:rPr>
            <w:noProof/>
            <w:webHidden/>
          </w:rPr>
          <w:fldChar w:fldCharType="begin"/>
        </w:r>
        <w:r w:rsidR="00990432">
          <w:rPr>
            <w:noProof/>
            <w:webHidden/>
          </w:rPr>
          <w:instrText xml:space="preserve"> PAGEREF _Toc470102504 \h </w:instrText>
        </w:r>
        <w:r w:rsidR="00485A78">
          <w:rPr>
            <w:noProof/>
            <w:webHidden/>
          </w:rPr>
        </w:r>
        <w:r w:rsidR="00485A78">
          <w:rPr>
            <w:noProof/>
            <w:webHidden/>
          </w:rPr>
          <w:fldChar w:fldCharType="separate"/>
        </w:r>
        <w:r w:rsidR="00827938">
          <w:rPr>
            <w:noProof/>
            <w:webHidden/>
          </w:rPr>
          <w:t>32</w:t>
        </w:r>
        <w:r w:rsidR="00485A78">
          <w:rPr>
            <w:noProof/>
            <w:webHidden/>
          </w:rPr>
          <w:fldChar w:fldCharType="end"/>
        </w:r>
      </w:hyperlink>
    </w:p>
    <w:p w14:paraId="5AFDBF42" w14:textId="77777777" w:rsidR="00990432" w:rsidRPr="00DC2B1D" w:rsidRDefault="00F917D9">
      <w:pPr>
        <w:pStyle w:val="TOC2"/>
        <w:tabs>
          <w:tab w:val="left" w:pos="880"/>
          <w:tab w:val="right" w:leader="dot" w:pos="9016"/>
        </w:tabs>
        <w:rPr>
          <w:noProof/>
          <w:sz w:val="22"/>
          <w:szCs w:val="22"/>
          <w:lang w:eastAsia="en-GB"/>
        </w:rPr>
      </w:pPr>
      <w:hyperlink w:anchor="_Toc470102505" w:history="1">
        <w:r w:rsidR="00990432" w:rsidRPr="00625C0A">
          <w:rPr>
            <w:rStyle w:val="Hyperlink"/>
            <w:rFonts w:cs="Tahoma"/>
            <w:noProof/>
            <w:lang w:eastAsia="en-GB"/>
          </w:rPr>
          <w:t>16.1</w:t>
        </w:r>
        <w:r w:rsidR="00990432" w:rsidRPr="00DC2B1D">
          <w:rPr>
            <w:noProof/>
            <w:sz w:val="22"/>
            <w:szCs w:val="22"/>
            <w:lang w:eastAsia="en-GB"/>
          </w:rPr>
          <w:tab/>
        </w:r>
        <w:r w:rsidR="00990432" w:rsidRPr="00625C0A">
          <w:rPr>
            <w:rStyle w:val="Hyperlink"/>
            <w:rFonts w:cs="Tahoma"/>
            <w:noProof/>
            <w:lang w:eastAsia="en-GB"/>
          </w:rPr>
          <w:t>Statistical input in trial design</w:t>
        </w:r>
        <w:r w:rsidR="00990432">
          <w:rPr>
            <w:noProof/>
            <w:webHidden/>
          </w:rPr>
          <w:tab/>
        </w:r>
        <w:r w:rsidR="00485A78">
          <w:rPr>
            <w:noProof/>
            <w:webHidden/>
          </w:rPr>
          <w:fldChar w:fldCharType="begin"/>
        </w:r>
        <w:r w:rsidR="00990432">
          <w:rPr>
            <w:noProof/>
            <w:webHidden/>
          </w:rPr>
          <w:instrText xml:space="preserve"> PAGEREF _Toc470102505 \h </w:instrText>
        </w:r>
        <w:r w:rsidR="00485A78">
          <w:rPr>
            <w:noProof/>
            <w:webHidden/>
          </w:rPr>
        </w:r>
        <w:r w:rsidR="00485A78">
          <w:rPr>
            <w:noProof/>
            <w:webHidden/>
          </w:rPr>
          <w:fldChar w:fldCharType="separate"/>
        </w:r>
        <w:r w:rsidR="00827938">
          <w:rPr>
            <w:noProof/>
            <w:webHidden/>
          </w:rPr>
          <w:t>32</w:t>
        </w:r>
        <w:r w:rsidR="00485A78">
          <w:rPr>
            <w:noProof/>
            <w:webHidden/>
          </w:rPr>
          <w:fldChar w:fldCharType="end"/>
        </w:r>
      </w:hyperlink>
    </w:p>
    <w:p w14:paraId="539F3532" w14:textId="77777777" w:rsidR="00990432" w:rsidRPr="00DC2B1D" w:rsidRDefault="00F917D9">
      <w:pPr>
        <w:pStyle w:val="TOC2"/>
        <w:tabs>
          <w:tab w:val="left" w:pos="880"/>
          <w:tab w:val="right" w:leader="dot" w:pos="9016"/>
        </w:tabs>
        <w:rPr>
          <w:noProof/>
          <w:sz w:val="22"/>
          <w:szCs w:val="22"/>
          <w:lang w:eastAsia="en-GB"/>
        </w:rPr>
      </w:pPr>
      <w:hyperlink w:anchor="_Toc470102506" w:history="1">
        <w:r w:rsidR="00990432" w:rsidRPr="00625C0A">
          <w:rPr>
            <w:rStyle w:val="Hyperlink"/>
            <w:rFonts w:cs="Tahoma"/>
            <w:noProof/>
            <w:lang w:eastAsia="en-GB"/>
          </w:rPr>
          <w:t>16.2</w:t>
        </w:r>
        <w:r w:rsidR="00990432" w:rsidRPr="00DC2B1D">
          <w:rPr>
            <w:noProof/>
            <w:sz w:val="22"/>
            <w:szCs w:val="22"/>
            <w:lang w:eastAsia="en-GB"/>
          </w:rPr>
          <w:tab/>
        </w:r>
        <w:r w:rsidR="00990432" w:rsidRPr="00625C0A">
          <w:rPr>
            <w:rStyle w:val="Hyperlink"/>
            <w:rFonts w:cs="Tahoma"/>
            <w:noProof/>
            <w:lang w:eastAsia="en-GB"/>
          </w:rPr>
          <w:t>Endpoints</w:t>
        </w:r>
        <w:r w:rsidR="00990432">
          <w:rPr>
            <w:noProof/>
            <w:webHidden/>
          </w:rPr>
          <w:tab/>
        </w:r>
        <w:r w:rsidR="00485A78">
          <w:rPr>
            <w:noProof/>
            <w:webHidden/>
          </w:rPr>
          <w:fldChar w:fldCharType="begin"/>
        </w:r>
        <w:r w:rsidR="00990432">
          <w:rPr>
            <w:noProof/>
            <w:webHidden/>
          </w:rPr>
          <w:instrText xml:space="preserve"> PAGEREF _Toc470102506 \h </w:instrText>
        </w:r>
        <w:r w:rsidR="00485A78">
          <w:rPr>
            <w:noProof/>
            <w:webHidden/>
          </w:rPr>
        </w:r>
        <w:r w:rsidR="00485A78">
          <w:rPr>
            <w:noProof/>
            <w:webHidden/>
          </w:rPr>
          <w:fldChar w:fldCharType="separate"/>
        </w:r>
        <w:r w:rsidR="00827938">
          <w:rPr>
            <w:noProof/>
            <w:webHidden/>
          </w:rPr>
          <w:t>33</w:t>
        </w:r>
        <w:r w:rsidR="00485A78">
          <w:rPr>
            <w:noProof/>
            <w:webHidden/>
          </w:rPr>
          <w:fldChar w:fldCharType="end"/>
        </w:r>
      </w:hyperlink>
    </w:p>
    <w:p w14:paraId="1DC8A06C" w14:textId="77777777" w:rsidR="00990432" w:rsidRPr="00DC2B1D" w:rsidRDefault="00F917D9">
      <w:pPr>
        <w:pStyle w:val="TOC3"/>
        <w:rPr>
          <w:rFonts w:ascii="Calibri" w:hAnsi="Calibri"/>
          <w:sz w:val="22"/>
          <w:szCs w:val="22"/>
          <w:lang w:eastAsia="en-GB"/>
        </w:rPr>
      </w:pPr>
      <w:hyperlink w:anchor="_Toc470102507" w:history="1">
        <w:r w:rsidR="00990432" w:rsidRPr="00625C0A">
          <w:rPr>
            <w:rStyle w:val="Hyperlink"/>
            <w:rFonts w:cs="Tahoma"/>
            <w:b/>
          </w:rPr>
          <w:t xml:space="preserve">16.2.1 </w:t>
        </w:r>
        <w:r w:rsidR="00990432" w:rsidRPr="00DC2B1D">
          <w:rPr>
            <w:rFonts w:ascii="Calibri" w:hAnsi="Calibri"/>
            <w:sz w:val="22"/>
            <w:szCs w:val="22"/>
            <w:lang w:eastAsia="en-GB"/>
          </w:rPr>
          <w:tab/>
        </w:r>
        <w:r w:rsidR="00990432" w:rsidRPr="00625C0A">
          <w:rPr>
            <w:rStyle w:val="Hyperlink"/>
            <w:rFonts w:cs="Tahoma"/>
            <w:b/>
          </w:rPr>
          <w:t>Primary endpoints</w:t>
        </w:r>
        <w:r w:rsidR="00990432">
          <w:rPr>
            <w:webHidden/>
          </w:rPr>
          <w:tab/>
        </w:r>
        <w:r w:rsidR="00485A78">
          <w:rPr>
            <w:webHidden/>
          </w:rPr>
          <w:fldChar w:fldCharType="begin"/>
        </w:r>
        <w:r w:rsidR="00990432">
          <w:rPr>
            <w:webHidden/>
          </w:rPr>
          <w:instrText xml:space="preserve"> PAGEREF _Toc470102507 \h </w:instrText>
        </w:r>
        <w:r w:rsidR="00485A78">
          <w:rPr>
            <w:webHidden/>
          </w:rPr>
        </w:r>
        <w:r w:rsidR="00485A78">
          <w:rPr>
            <w:webHidden/>
          </w:rPr>
          <w:fldChar w:fldCharType="separate"/>
        </w:r>
        <w:r w:rsidR="00827938">
          <w:rPr>
            <w:webHidden/>
          </w:rPr>
          <w:t>33</w:t>
        </w:r>
        <w:r w:rsidR="00485A78">
          <w:rPr>
            <w:webHidden/>
          </w:rPr>
          <w:fldChar w:fldCharType="end"/>
        </w:r>
      </w:hyperlink>
    </w:p>
    <w:p w14:paraId="34BF203C" w14:textId="77777777" w:rsidR="00990432" w:rsidRPr="00DC2B1D" w:rsidRDefault="00F917D9">
      <w:pPr>
        <w:pStyle w:val="TOC3"/>
        <w:rPr>
          <w:rFonts w:ascii="Calibri" w:hAnsi="Calibri"/>
          <w:sz w:val="22"/>
          <w:szCs w:val="22"/>
          <w:lang w:eastAsia="en-GB"/>
        </w:rPr>
      </w:pPr>
      <w:hyperlink w:anchor="_Toc470102508" w:history="1">
        <w:r w:rsidR="00990432" w:rsidRPr="00625C0A">
          <w:rPr>
            <w:rStyle w:val="Hyperlink"/>
            <w:rFonts w:cs="Tahoma"/>
            <w:b/>
          </w:rPr>
          <w:t>16.2.2</w:t>
        </w:r>
        <w:r w:rsidR="00990432" w:rsidRPr="00DC2B1D">
          <w:rPr>
            <w:rFonts w:ascii="Calibri" w:hAnsi="Calibri"/>
            <w:sz w:val="22"/>
            <w:szCs w:val="22"/>
            <w:lang w:eastAsia="en-GB"/>
          </w:rPr>
          <w:tab/>
        </w:r>
        <w:r w:rsidR="00990432" w:rsidRPr="00625C0A">
          <w:rPr>
            <w:rStyle w:val="Hyperlink"/>
            <w:rFonts w:cs="Tahoma"/>
            <w:b/>
          </w:rPr>
          <w:t>Secondary endpoints</w:t>
        </w:r>
        <w:r w:rsidR="00990432">
          <w:rPr>
            <w:webHidden/>
          </w:rPr>
          <w:tab/>
        </w:r>
        <w:r w:rsidR="00485A78">
          <w:rPr>
            <w:webHidden/>
          </w:rPr>
          <w:fldChar w:fldCharType="begin"/>
        </w:r>
        <w:r w:rsidR="00990432">
          <w:rPr>
            <w:webHidden/>
          </w:rPr>
          <w:instrText xml:space="preserve"> PAGEREF _Toc470102508 \h </w:instrText>
        </w:r>
        <w:r w:rsidR="00485A78">
          <w:rPr>
            <w:webHidden/>
          </w:rPr>
        </w:r>
        <w:r w:rsidR="00485A78">
          <w:rPr>
            <w:webHidden/>
          </w:rPr>
          <w:fldChar w:fldCharType="separate"/>
        </w:r>
        <w:r w:rsidR="00827938">
          <w:rPr>
            <w:webHidden/>
          </w:rPr>
          <w:t>33</w:t>
        </w:r>
        <w:r w:rsidR="00485A78">
          <w:rPr>
            <w:webHidden/>
          </w:rPr>
          <w:fldChar w:fldCharType="end"/>
        </w:r>
      </w:hyperlink>
    </w:p>
    <w:p w14:paraId="23445ED6" w14:textId="77777777" w:rsidR="00990432" w:rsidRPr="00DC2B1D" w:rsidRDefault="00F917D9">
      <w:pPr>
        <w:pStyle w:val="TOC2"/>
        <w:tabs>
          <w:tab w:val="left" w:pos="880"/>
          <w:tab w:val="right" w:leader="dot" w:pos="9016"/>
        </w:tabs>
        <w:rPr>
          <w:noProof/>
          <w:sz w:val="22"/>
          <w:szCs w:val="22"/>
          <w:lang w:eastAsia="en-GB"/>
        </w:rPr>
      </w:pPr>
      <w:hyperlink w:anchor="_Toc470102509" w:history="1">
        <w:r w:rsidR="00990432" w:rsidRPr="00625C0A">
          <w:rPr>
            <w:rStyle w:val="Hyperlink"/>
            <w:rFonts w:cs="Tahoma"/>
            <w:noProof/>
          </w:rPr>
          <w:t>16.3</w:t>
        </w:r>
        <w:r w:rsidR="00990432" w:rsidRPr="00DC2B1D">
          <w:rPr>
            <w:noProof/>
            <w:sz w:val="22"/>
            <w:szCs w:val="22"/>
            <w:lang w:eastAsia="en-GB"/>
          </w:rPr>
          <w:tab/>
        </w:r>
        <w:r w:rsidR="00990432" w:rsidRPr="00625C0A">
          <w:rPr>
            <w:rStyle w:val="Hyperlink"/>
            <w:rFonts w:cs="Tahoma"/>
            <w:noProof/>
          </w:rPr>
          <w:t>Sample size and recruitment</w:t>
        </w:r>
        <w:r w:rsidR="00990432">
          <w:rPr>
            <w:noProof/>
            <w:webHidden/>
          </w:rPr>
          <w:tab/>
        </w:r>
        <w:r w:rsidR="00485A78">
          <w:rPr>
            <w:noProof/>
            <w:webHidden/>
          </w:rPr>
          <w:fldChar w:fldCharType="begin"/>
        </w:r>
        <w:r w:rsidR="00990432">
          <w:rPr>
            <w:noProof/>
            <w:webHidden/>
          </w:rPr>
          <w:instrText xml:space="preserve"> PAGEREF _Toc470102509 \h </w:instrText>
        </w:r>
        <w:r w:rsidR="00485A78">
          <w:rPr>
            <w:noProof/>
            <w:webHidden/>
          </w:rPr>
        </w:r>
        <w:r w:rsidR="00485A78">
          <w:rPr>
            <w:noProof/>
            <w:webHidden/>
          </w:rPr>
          <w:fldChar w:fldCharType="separate"/>
        </w:r>
        <w:r w:rsidR="00827938">
          <w:rPr>
            <w:noProof/>
            <w:webHidden/>
          </w:rPr>
          <w:t>33</w:t>
        </w:r>
        <w:r w:rsidR="00485A78">
          <w:rPr>
            <w:noProof/>
            <w:webHidden/>
          </w:rPr>
          <w:fldChar w:fldCharType="end"/>
        </w:r>
      </w:hyperlink>
    </w:p>
    <w:p w14:paraId="10F704B2" w14:textId="77777777" w:rsidR="00990432" w:rsidRPr="00DC2B1D" w:rsidRDefault="00F917D9">
      <w:pPr>
        <w:pStyle w:val="TOC3"/>
        <w:rPr>
          <w:rFonts w:ascii="Calibri" w:hAnsi="Calibri"/>
          <w:sz w:val="22"/>
          <w:szCs w:val="22"/>
          <w:lang w:eastAsia="en-GB"/>
        </w:rPr>
      </w:pPr>
      <w:hyperlink w:anchor="_Toc470102510" w:history="1">
        <w:r w:rsidR="00990432" w:rsidRPr="00625C0A">
          <w:rPr>
            <w:rStyle w:val="Hyperlink"/>
            <w:rFonts w:cs="Tahoma"/>
            <w:b/>
            <w:lang w:eastAsia="en-GB"/>
          </w:rPr>
          <w:t xml:space="preserve">16.3.1 </w:t>
        </w:r>
        <w:r w:rsidR="00990432" w:rsidRPr="00625C0A">
          <w:rPr>
            <w:rStyle w:val="Hyperlink"/>
            <w:rFonts w:cs="Tahoma"/>
            <w:lang w:eastAsia="en-GB"/>
          </w:rPr>
          <w:t>Sample size calculation</w:t>
        </w:r>
        <w:r w:rsidR="00990432">
          <w:rPr>
            <w:webHidden/>
          </w:rPr>
          <w:tab/>
        </w:r>
        <w:r w:rsidR="00485A78">
          <w:rPr>
            <w:webHidden/>
          </w:rPr>
          <w:fldChar w:fldCharType="begin"/>
        </w:r>
        <w:r w:rsidR="00990432">
          <w:rPr>
            <w:webHidden/>
          </w:rPr>
          <w:instrText xml:space="preserve"> PAGEREF _Toc470102510 \h </w:instrText>
        </w:r>
        <w:r w:rsidR="00485A78">
          <w:rPr>
            <w:webHidden/>
          </w:rPr>
        </w:r>
        <w:r w:rsidR="00485A78">
          <w:rPr>
            <w:webHidden/>
          </w:rPr>
          <w:fldChar w:fldCharType="separate"/>
        </w:r>
        <w:r w:rsidR="00827938">
          <w:rPr>
            <w:webHidden/>
          </w:rPr>
          <w:t>33</w:t>
        </w:r>
        <w:r w:rsidR="00485A78">
          <w:rPr>
            <w:webHidden/>
          </w:rPr>
          <w:fldChar w:fldCharType="end"/>
        </w:r>
      </w:hyperlink>
    </w:p>
    <w:p w14:paraId="6F7BE90B" w14:textId="77777777" w:rsidR="00990432" w:rsidRPr="00DC2B1D" w:rsidRDefault="00F917D9">
      <w:pPr>
        <w:pStyle w:val="TOC3"/>
        <w:rPr>
          <w:rFonts w:ascii="Calibri" w:hAnsi="Calibri"/>
          <w:sz w:val="22"/>
          <w:szCs w:val="22"/>
          <w:lang w:eastAsia="en-GB"/>
        </w:rPr>
      </w:pPr>
      <w:hyperlink w:anchor="_Toc470102511" w:history="1">
        <w:r w:rsidR="00990432" w:rsidRPr="00625C0A">
          <w:rPr>
            <w:rStyle w:val="Hyperlink"/>
            <w:rFonts w:cs="Tahoma"/>
            <w:b/>
            <w:lang w:eastAsia="en-GB"/>
          </w:rPr>
          <w:t xml:space="preserve">16.3.2 </w:t>
        </w:r>
        <w:r w:rsidR="00990432" w:rsidRPr="00625C0A">
          <w:rPr>
            <w:rStyle w:val="Hyperlink"/>
            <w:rFonts w:cs="Tahoma"/>
            <w:lang w:eastAsia="en-GB"/>
          </w:rPr>
          <w:t>Planned recruitment rate</w:t>
        </w:r>
        <w:r w:rsidR="00990432">
          <w:rPr>
            <w:webHidden/>
          </w:rPr>
          <w:tab/>
        </w:r>
        <w:r w:rsidR="00485A78">
          <w:rPr>
            <w:webHidden/>
          </w:rPr>
          <w:fldChar w:fldCharType="begin"/>
        </w:r>
        <w:r w:rsidR="00990432">
          <w:rPr>
            <w:webHidden/>
          </w:rPr>
          <w:instrText xml:space="preserve"> PAGEREF _Toc470102511 \h </w:instrText>
        </w:r>
        <w:r w:rsidR="00485A78">
          <w:rPr>
            <w:webHidden/>
          </w:rPr>
        </w:r>
        <w:r w:rsidR="00485A78">
          <w:rPr>
            <w:webHidden/>
          </w:rPr>
          <w:fldChar w:fldCharType="separate"/>
        </w:r>
        <w:r w:rsidR="00827938">
          <w:rPr>
            <w:webHidden/>
          </w:rPr>
          <w:t>34</w:t>
        </w:r>
        <w:r w:rsidR="00485A78">
          <w:rPr>
            <w:webHidden/>
          </w:rPr>
          <w:fldChar w:fldCharType="end"/>
        </w:r>
      </w:hyperlink>
    </w:p>
    <w:p w14:paraId="7FA836AA" w14:textId="77777777" w:rsidR="00990432" w:rsidRPr="00DC2B1D" w:rsidRDefault="00F917D9">
      <w:pPr>
        <w:pStyle w:val="TOC2"/>
        <w:tabs>
          <w:tab w:val="left" w:pos="880"/>
          <w:tab w:val="right" w:leader="dot" w:pos="9016"/>
        </w:tabs>
        <w:rPr>
          <w:noProof/>
          <w:sz w:val="22"/>
          <w:szCs w:val="22"/>
          <w:lang w:eastAsia="en-GB"/>
        </w:rPr>
      </w:pPr>
      <w:hyperlink w:anchor="_Toc470102512" w:history="1">
        <w:r w:rsidR="00990432" w:rsidRPr="00625C0A">
          <w:rPr>
            <w:rStyle w:val="Hyperlink"/>
            <w:rFonts w:cs="Tahoma"/>
            <w:noProof/>
          </w:rPr>
          <w:t>16.4</w:t>
        </w:r>
        <w:r w:rsidR="00990432" w:rsidRPr="00DC2B1D">
          <w:rPr>
            <w:noProof/>
            <w:sz w:val="22"/>
            <w:szCs w:val="22"/>
            <w:lang w:eastAsia="en-GB"/>
          </w:rPr>
          <w:tab/>
        </w:r>
        <w:r w:rsidR="00990432" w:rsidRPr="00625C0A">
          <w:rPr>
            <w:rStyle w:val="Hyperlink"/>
            <w:rFonts w:cs="Tahoma"/>
            <w:noProof/>
          </w:rPr>
          <w:t>Summary of baseline data and flow of patients</w:t>
        </w:r>
        <w:r w:rsidR="00990432">
          <w:rPr>
            <w:noProof/>
            <w:webHidden/>
          </w:rPr>
          <w:tab/>
        </w:r>
        <w:r w:rsidR="00485A78">
          <w:rPr>
            <w:noProof/>
            <w:webHidden/>
          </w:rPr>
          <w:fldChar w:fldCharType="begin"/>
        </w:r>
        <w:r w:rsidR="00990432">
          <w:rPr>
            <w:noProof/>
            <w:webHidden/>
          </w:rPr>
          <w:instrText xml:space="preserve"> PAGEREF _Toc470102512 \h </w:instrText>
        </w:r>
        <w:r w:rsidR="00485A78">
          <w:rPr>
            <w:noProof/>
            <w:webHidden/>
          </w:rPr>
        </w:r>
        <w:r w:rsidR="00485A78">
          <w:rPr>
            <w:noProof/>
            <w:webHidden/>
          </w:rPr>
          <w:fldChar w:fldCharType="separate"/>
        </w:r>
        <w:r w:rsidR="00827938">
          <w:rPr>
            <w:noProof/>
            <w:webHidden/>
          </w:rPr>
          <w:t>34</w:t>
        </w:r>
        <w:r w:rsidR="00485A78">
          <w:rPr>
            <w:noProof/>
            <w:webHidden/>
          </w:rPr>
          <w:fldChar w:fldCharType="end"/>
        </w:r>
      </w:hyperlink>
    </w:p>
    <w:p w14:paraId="734618B5" w14:textId="77777777" w:rsidR="00990432" w:rsidRPr="00DC2B1D" w:rsidRDefault="00F917D9">
      <w:pPr>
        <w:pStyle w:val="TOC3"/>
        <w:rPr>
          <w:rFonts w:ascii="Calibri" w:hAnsi="Calibri"/>
          <w:sz w:val="22"/>
          <w:szCs w:val="22"/>
          <w:lang w:eastAsia="en-GB"/>
        </w:rPr>
      </w:pPr>
      <w:hyperlink w:anchor="_Toc470102513" w:history="1">
        <w:r w:rsidR="00990432" w:rsidRPr="00625C0A">
          <w:rPr>
            <w:rStyle w:val="Hyperlink"/>
            <w:rFonts w:cs="Arial"/>
          </w:rPr>
          <w:t>16.4.1</w:t>
        </w:r>
        <w:r w:rsidR="00990432">
          <w:rPr>
            <w:webHidden/>
          </w:rPr>
          <w:tab/>
        </w:r>
      </w:hyperlink>
      <w:hyperlink w:anchor="_Toc470102514" w:history="1">
        <w:r w:rsidR="00990432" w:rsidRPr="00625C0A">
          <w:rPr>
            <w:rStyle w:val="Hyperlink"/>
            <w:rFonts w:cs="Tahoma"/>
          </w:rPr>
          <w:t>Primary endpoint analysis</w:t>
        </w:r>
        <w:r w:rsidR="00990432">
          <w:rPr>
            <w:webHidden/>
          </w:rPr>
          <w:tab/>
        </w:r>
        <w:r w:rsidR="00485A78">
          <w:rPr>
            <w:webHidden/>
          </w:rPr>
          <w:fldChar w:fldCharType="begin"/>
        </w:r>
        <w:r w:rsidR="00990432">
          <w:rPr>
            <w:webHidden/>
          </w:rPr>
          <w:instrText xml:space="preserve"> PAGEREF _Toc470102514 \h </w:instrText>
        </w:r>
        <w:r w:rsidR="00485A78">
          <w:rPr>
            <w:webHidden/>
          </w:rPr>
        </w:r>
        <w:r w:rsidR="00485A78">
          <w:rPr>
            <w:webHidden/>
          </w:rPr>
          <w:fldChar w:fldCharType="separate"/>
        </w:r>
        <w:r w:rsidR="00827938">
          <w:rPr>
            <w:webHidden/>
          </w:rPr>
          <w:t>34</w:t>
        </w:r>
        <w:r w:rsidR="00485A78">
          <w:rPr>
            <w:webHidden/>
          </w:rPr>
          <w:fldChar w:fldCharType="end"/>
        </w:r>
      </w:hyperlink>
    </w:p>
    <w:p w14:paraId="632EC8D2" w14:textId="77777777" w:rsidR="00990432" w:rsidRPr="00DC2B1D" w:rsidRDefault="00F917D9">
      <w:pPr>
        <w:pStyle w:val="TOC3"/>
        <w:rPr>
          <w:rFonts w:ascii="Calibri" w:hAnsi="Calibri"/>
          <w:sz w:val="22"/>
          <w:szCs w:val="22"/>
          <w:lang w:eastAsia="en-GB"/>
        </w:rPr>
      </w:pPr>
      <w:hyperlink w:anchor="_Toc470102515" w:history="1">
        <w:r w:rsidR="00990432" w:rsidRPr="00625C0A">
          <w:rPr>
            <w:rStyle w:val="Hyperlink"/>
            <w:rFonts w:cs="Tahoma"/>
          </w:rPr>
          <w:t xml:space="preserve">16.4.2    </w:t>
        </w:r>
        <w:r w:rsidR="00990432" w:rsidRPr="00DC2B1D">
          <w:rPr>
            <w:rFonts w:ascii="Calibri" w:hAnsi="Calibri"/>
            <w:sz w:val="22"/>
            <w:szCs w:val="22"/>
            <w:lang w:eastAsia="en-GB"/>
          </w:rPr>
          <w:tab/>
        </w:r>
        <w:r w:rsidR="00990432" w:rsidRPr="00625C0A">
          <w:rPr>
            <w:rStyle w:val="Hyperlink"/>
            <w:rFonts w:cs="Tahoma"/>
          </w:rPr>
          <w:t>Secondary endpoint analysis</w:t>
        </w:r>
        <w:r w:rsidR="00990432">
          <w:rPr>
            <w:webHidden/>
          </w:rPr>
          <w:tab/>
        </w:r>
        <w:r w:rsidR="00485A78">
          <w:rPr>
            <w:webHidden/>
          </w:rPr>
          <w:fldChar w:fldCharType="begin"/>
        </w:r>
        <w:r w:rsidR="00990432">
          <w:rPr>
            <w:webHidden/>
          </w:rPr>
          <w:instrText xml:space="preserve"> PAGEREF _Toc470102515 \h </w:instrText>
        </w:r>
        <w:r w:rsidR="00485A78">
          <w:rPr>
            <w:webHidden/>
          </w:rPr>
        </w:r>
        <w:r w:rsidR="00485A78">
          <w:rPr>
            <w:webHidden/>
          </w:rPr>
          <w:fldChar w:fldCharType="separate"/>
        </w:r>
        <w:r w:rsidR="00827938">
          <w:rPr>
            <w:webHidden/>
          </w:rPr>
          <w:t>35</w:t>
        </w:r>
        <w:r w:rsidR="00485A78">
          <w:rPr>
            <w:webHidden/>
          </w:rPr>
          <w:fldChar w:fldCharType="end"/>
        </w:r>
      </w:hyperlink>
    </w:p>
    <w:p w14:paraId="14DAFDE1" w14:textId="77777777" w:rsidR="00990432" w:rsidRPr="00DC2B1D" w:rsidRDefault="00F917D9">
      <w:pPr>
        <w:pStyle w:val="TOC3"/>
        <w:rPr>
          <w:rFonts w:ascii="Calibri" w:hAnsi="Calibri"/>
          <w:sz w:val="22"/>
          <w:szCs w:val="22"/>
          <w:lang w:eastAsia="en-GB"/>
        </w:rPr>
      </w:pPr>
      <w:hyperlink w:anchor="_Toc470102517" w:history="1">
        <w:r w:rsidR="00990432" w:rsidRPr="00625C0A">
          <w:rPr>
            <w:rStyle w:val="Hyperlink"/>
            <w:rFonts w:cs="Tahoma"/>
          </w:rPr>
          <w:t>16.4.3               Randomisation</w:t>
        </w:r>
        <w:r w:rsidR="00990432">
          <w:rPr>
            <w:webHidden/>
          </w:rPr>
          <w:tab/>
        </w:r>
        <w:r w:rsidR="00485A78">
          <w:rPr>
            <w:webHidden/>
          </w:rPr>
          <w:fldChar w:fldCharType="begin"/>
        </w:r>
        <w:r w:rsidR="00990432">
          <w:rPr>
            <w:webHidden/>
          </w:rPr>
          <w:instrText xml:space="preserve"> PAGEREF _Toc470102517 \h </w:instrText>
        </w:r>
        <w:r w:rsidR="00485A78">
          <w:rPr>
            <w:webHidden/>
          </w:rPr>
        </w:r>
        <w:r w:rsidR="00485A78">
          <w:rPr>
            <w:webHidden/>
          </w:rPr>
          <w:fldChar w:fldCharType="separate"/>
        </w:r>
        <w:r w:rsidR="00827938">
          <w:rPr>
            <w:webHidden/>
          </w:rPr>
          <w:t>35</w:t>
        </w:r>
        <w:r w:rsidR="00485A78">
          <w:rPr>
            <w:webHidden/>
          </w:rPr>
          <w:fldChar w:fldCharType="end"/>
        </w:r>
      </w:hyperlink>
    </w:p>
    <w:p w14:paraId="304A4F32" w14:textId="77777777" w:rsidR="00990432" w:rsidRPr="00DC2B1D" w:rsidRDefault="00F917D9">
      <w:pPr>
        <w:pStyle w:val="TOC2"/>
        <w:tabs>
          <w:tab w:val="left" w:pos="880"/>
          <w:tab w:val="right" w:leader="dot" w:pos="9016"/>
        </w:tabs>
        <w:rPr>
          <w:noProof/>
          <w:sz w:val="22"/>
          <w:szCs w:val="22"/>
          <w:lang w:eastAsia="en-GB"/>
        </w:rPr>
      </w:pPr>
      <w:hyperlink w:anchor="_Toc470102518" w:history="1">
        <w:r w:rsidR="00990432" w:rsidRPr="00625C0A">
          <w:rPr>
            <w:rStyle w:val="Hyperlink"/>
            <w:rFonts w:cs="Tahoma"/>
            <w:noProof/>
          </w:rPr>
          <w:t>16.5</w:t>
        </w:r>
        <w:r w:rsidR="00990432" w:rsidRPr="00DC2B1D">
          <w:rPr>
            <w:noProof/>
            <w:sz w:val="22"/>
            <w:szCs w:val="22"/>
            <w:lang w:eastAsia="en-GB"/>
          </w:rPr>
          <w:tab/>
        </w:r>
        <w:r w:rsidR="00990432" w:rsidRPr="00625C0A">
          <w:rPr>
            <w:rStyle w:val="Hyperlink"/>
            <w:rFonts w:cs="Tahoma"/>
            <w:noProof/>
          </w:rPr>
          <w:t>Interim analysis</w:t>
        </w:r>
        <w:r w:rsidR="00990432">
          <w:rPr>
            <w:noProof/>
            <w:webHidden/>
          </w:rPr>
          <w:tab/>
        </w:r>
        <w:r w:rsidR="00485A78">
          <w:rPr>
            <w:noProof/>
            <w:webHidden/>
          </w:rPr>
          <w:fldChar w:fldCharType="begin"/>
        </w:r>
        <w:r w:rsidR="00990432">
          <w:rPr>
            <w:noProof/>
            <w:webHidden/>
          </w:rPr>
          <w:instrText xml:space="preserve"> PAGEREF _Toc470102518 \h </w:instrText>
        </w:r>
        <w:r w:rsidR="00485A78">
          <w:rPr>
            <w:noProof/>
            <w:webHidden/>
          </w:rPr>
        </w:r>
        <w:r w:rsidR="00485A78">
          <w:rPr>
            <w:noProof/>
            <w:webHidden/>
          </w:rPr>
          <w:fldChar w:fldCharType="separate"/>
        </w:r>
        <w:r w:rsidR="00827938">
          <w:rPr>
            <w:noProof/>
            <w:webHidden/>
          </w:rPr>
          <w:t>35</w:t>
        </w:r>
        <w:r w:rsidR="00485A78">
          <w:rPr>
            <w:noProof/>
            <w:webHidden/>
          </w:rPr>
          <w:fldChar w:fldCharType="end"/>
        </w:r>
      </w:hyperlink>
    </w:p>
    <w:p w14:paraId="2DCCFC52" w14:textId="77777777" w:rsidR="00990432" w:rsidRPr="00DC2B1D" w:rsidRDefault="00F917D9" w:rsidP="00ED2F59">
      <w:pPr>
        <w:pStyle w:val="TOC1"/>
        <w:rPr>
          <w:noProof/>
          <w:sz w:val="22"/>
          <w:szCs w:val="22"/>
          <w:lang w:eastAsia="en-GB"/>
        </w:rPr>
      </w:pPr>
      <w:hyperlink w:anchor="_Toc470102521" w:history="1">
        <w:r w:rsidR="00990432" w:rsidRPr="00625C0A">
          <w:rPr>
            <w:rStyle w:val="Hyperlink"/>
            <w:noProof/>
          </w:rPr>
          <w:t>17</w:t>
        </w:r>
        <w:r w:rsidR="00990432" w:rsidRPr="00DC2B1D">
          <w:rPr>
            <w:noProof/>
            <w:sz w:val="22"/>
            <w:szCs w:val="22"/>
            <w:lang w:eastAsia="en-GB"/>
          </w:rPr>
          <w:tab/>
        </w:r>
        <w:r w:rsidR="00990432" w:rsidRPr="00625C0A">
          <w:rPr>
            <w:rStyle w:val="Hyperlink"/>
            <w:noProof/>
          </w:rPr>
          <w:t>Committees involved in the trial</w:t>
        </w:r>
        <w:r w:rsidR="00990432">
          <w:rPr>
            <w:noProof/>
            <w:webHidden/>
          </w:rPr>
          <w:tab/>
        </w:r>
        <w:r w:rsidR="00485A78">
          <w:rPr>
            <w:noProof/>
            <w:webHidden/>
          </w:rPr>
          <w:fldChar w:fldCharType="begin"/>
        </w:r>
        <w:r w:rsidR="00990432">
          <w:rPr>
            <w:noProof/>
            <w:webHidden/>
          </w:rPr>
          <w:instrText xml:space="preserve"> PAGEREF _Toc470102521 \h </w:instrText>
        </w:r>
        <w:r w:rsidR="00485A78">
          <w:rPr>
            <w:noProof/>
            <w:webHidden/>
          </w:rPr>
        </w:r>
        <w:r w:rsidR="00485A78">
          <w:rPr>
            <w:noProof/>
            <w:webHidden/>
          </w:rPr>
          <w:fldChar w:fldCharType="separate"/>
        </w:r>
        <w:r w:rsidR="00827938">
          <w:rPr>
            <w:noProof/>
            <w:webHidden/>
          </w:rPr>
          <w:t>35</w:t>
        </w:r>
        <w:r w:rsidR="00485A78">
          <w:rPr>
            <w:noProof/>
            <w:webHidden/>
          </w:rPr>
          <w:fldChar w:fldCharType="end"/>
        </w:r>
      </w:hyperlink>
    </w:p>
    <w:p w14:paraId="2BF89062" w14:textId="77777777" w:rsidR="00990432" w:rsidRPr="00DC2B1D" w:rsidRDefault="00F917D9" w:rsidP="00ED2F59">
      <w:pPr>
        <w:pStyle w:val="TOC1"/>
        <w:rPr>
          <w:noProof/>
          <w:sz w:val="22"/>
          <w:szCs w:val="22"/>
          <w:lang w:eastAsia="en-GB"/>
        </w:rPr>
      </w:pPr>
      <w:hyperlink w:anchor="_Toc470102522" w:history="1">
        <w:r w:rsidR="00990432" w:rsidRPr="00625C0A">
          <w:rPr>
            <w:rStyle w:val="Hyperlink"/>
            <w:noProof/>
          </w:rPr>
          <w:t>18</w:t>
        </w:r>
        <w:r w:rsidR="00990432" w:rsidRPr="00DC2B1D">
          <w:rPr>
            <w:noProof/>
            <w:sz w:val="22"/>
            <w:szCs w:val="22"/>
            <w:lang w:eastAsia="en-GB"/>
          </w:rPr>
          <w:tab/>
        </w:r>
        <w:r w:rsidR="00990432" w:rsidRPr="00625C0A">
          <w:rPr>
            <w:rStyle w:val="Hyperlink"/>
            <w:noProof/>
          </w:rPr>
          <w:t>Direct access to source data</w:t>
        </w:r>
        <w:r w:rsidR="00990432">
          <w:rPr>
            <w:noProof/>
            <w:webHidden/>
          </w:rPr>
          <w:tab/>
        </w:r>
        <w:r w:rsidR="00485A78">
          <w:rPr>
            <w:noProof/>
            <w:webHidden/>
          </w:rPr>
          <w:fldChar w:fldCharType="begin"/>
        </w:r>
        <w:r w:rsidR="00990432">
          <w:rPr>
            <w:noProof/>
            <w:webHidden/>
          </w:rPr>
          <w:instrText xml:space="preserve"> PAGEREF _Toc470102522 \h </w:instrText>
        </w:r>
        <w:r w:rsidR="00485A78">
          <w:rPr>
            <w:noProof/>
            <w:webHidden/>
          </w:rPr>
        </w:r>
        <w:r w:rsidR="00485A78">
          <w:rPr>
            <w:noProof/>
            <w:webHidden/>
          </w:rPr>
          <w:fldChar w:fldCharType="separate"/>
        </w:r>
        <w:r w:rsidR="00827938">
          <w:rPr>
            <w:noProof/>
            <w:webHidden/>
          </w:rPr>
          <w:t>36</w:t>
        </w:r>
        <w:r w:rsidR="00485A78">
          <w:rPr>
            <w:noProof/>
            <w:webHidden/>
          </w:rPr>
          <w:fldChar w:fldCharType="end"/>
        </w:r>
      </w:hyperlink>
    </w:p>
    <w:p w14:paraId="79C7DB16" w14:textId="77777777" w:rsidR="00990432" w:rsidRPr="00DC2B1D" w:rsidRDefault="00F917D9" w:rsidP="00ED2F59">
      <w:pPr>
        <w:pStyle w:val="TOC1"/>
        <w:rPr>
          <w:noProof/>
          <w:sz w:val="22"/>
          <w:szCs w:val="22"/>
          <w:lang w:eastAsia="en-GB"/>
        </w:rPr>
      </w:pPr>
      <w:hyperlink w:anchor="_Toc470102523" w:history="1">
        <w:r w:rsidR="00990432" w:rsidRPr="00625C0A">
          <w:rPr>
            <w:rStyle w:val="Hyperlink"/>
            <w:noProof/>
          </w:rPr>
          <w:t>19</w:t>
        </w:r>
        <w:r w:rsidR="00990432" w:rsidRPr="00DC2B1D">
          <w:rPr>
            <w:noProof/>
            <w:sz w:val="22"/>
            <w:szCs w:val="22"/>
            <w:lang w:eastAsia="en-GB"/>
          </w:rPr>
          <w:tab/>
        </w:r>
        <w:r w:rsidR="00990432" w:rsidRPr="00625C0A">
          <w:rPr>
            <w:rStyle w:val="Hyperlink"/>
            <w:noProof/>
          </w:rPr>
          <w:t>Site approval and ongoing Regulatory compliance</w:t>
        </w:r>
        <w:r w:rsidR="00990432">
          <w:rPr>
            <w:noProof/>
            <w:webHidden/>
          </w:rPr>
          <w:tab/>
        </w:r>
        <w:r w:rsidR="00485A78">
          <w:rPr>
            <w:noProof/>
            <w:webHidden/>
          </w:rPr>
          <w:fldChar w:fldCharType="begin"/>
        </w:r>
        <w:r w:rsidR="00990432">
          <w:rPr>
            <w:noProof/>
            <w:webHidden/>
          </w:rPr>
          <w:instrText xml:space="preserve"> PAGEREF _Toc470102523 \h </w:instrText>
        </w:r>
        <w:r w:rsidR="00485A78">
          <w:rPr>
            <w:noProof/>
            <w:webHidden/>
          </w:rPr>
        </w:r>
        <w:r w:rsidR="00485A78">
          <w:rPr>
            <w:noProof/>
            <w:webHidden/>
          </w:rPr>
          <w:fldChar w:fldCharType="separate"/>
        </w:r>
        <w:r w:rsidR="00827938">
          <w:rPr>
            <w:noProof/>
            <w:webHidden/>
          </w:rPr>
          <w:t>36</w:t>
        </w:r>
        <w:r w:rsidR="00485A78">
          <w:rPr>
            <w:noProof/>
            <w:webHidden/>
          </w:rPr>
          <w:fldChar w:fldCharType="end"/>
        </w:r>
      </w:hyperlink>
    </w:p>
    <w:p w14:paraId="032CD2E2" w14:textId="77777777" w:rsidR="00990432" w:rsidRPr="00DC2B1D" w:rsidRDefault="00F917D9" w:rsidP="00ED2F59">
      <w:pPr>
        <w:pStyle w:val="TOC1"/>
        <w:rPr>
          <w:noProof/>
          <w:sz w:val="22"/>
          <w:szCs w:val="22"/>
          <w:lang w:eastAsia="en-GB"/>
        </w:rPr>
      </w:pPr>
      <w:hyperlink w:anchor="_Toc470102524" w:history="1">
        <w:r w:rsidR="00990432" w:rsidRPr="00625C0A">
          <w:rPr>
            <w:rStyle w:val="Hyperlink"/>
            <w:noProof/>
          </w:rPr>
          <w:t>20</w:t>
        </w:r>
        <w:r w:rsidR="00990432" w:rsidRPr="00DC2B1D">
          <w:rPr>
            <w:noProof/>
            <w:sz w:val="22"/>
            <w:szCs w:val="22"/>
            <w:lang w:eastAsia="en-GB"/>
          </w:rPr>
          <w:tab/>
        </w:r>
        <w:r w:rsidR="00990432" w:rsidRPr="00625C0A">
          <w:rPr>
            <w:rStyle w:val="Hyperlink"/>
            <w:noProof/>
          </w:rPr>
          <w:t>Monitoring plan for the trial</w:t>
        </w:r>
        <w:r w:rsidR="00990432">
          <w:rPr>
            <w:noProof/>
            <w:webHidden/>
          </w:rPr>
          <w:tab/>
        </w:r>
        <w:r w:rsidR="00485A78">
          <w:rPr>
            <w:noProof/>
            <w:webHidden/>
          </w:rPr>
          <w:fldChar w:fldCharType="begin"/>
        </w:r>
        <w:r w:rsidR="00990432">
          <w:rPr>
            <w:noProof/>
            <w:webHidden/>
          </w:rPr>
          <w:instrText xml:space="preserve"> PAGEREF _Toc470102524 \h </w:instrText>
        </w:r>
        <w:r w:rsidR="00485A78">
          <w:rPr>
            <w:noProof/>
            <w:webHidden/>
          </w:rPr>
        </w:r>
        <w:r w:rsidR="00485A78">
          <w:rPr>
            <w:noProof/>
            <w:webHidden/>
          </w:rPr>
          <w:fldChar w:fldCharType="separate"/>
        </w:r>
        <w:r w:rsidR="00827938">
          <w:rPr>
            <w:noProof/>
            <w:webHidden/>
          </w:rPr>
          <w:t>36</w:t>
        </w:r>
        <w:r w:rsidR="00485A78">
          <w:rPr>
            <w:noProof/>
            <w:webHidden/>
          </w:rPr>
          <w:fldChar w:fldCharType="end"/>
        </w:r>
      </w:hyperlink>
    </w:p>
    <w:p w14:paraId="69A2CD30" w14:textId="77777777" w:rsidR="00990432" w:rsidRPr="00DC2B1D" w:rsidRDefault="00F917D9" w:rsidP="00ED2F59">
      <w:pPr>
        <w:pStyle w:val="TOC1"/>
        <w:rPr>
          <w:noProof/>
          <w:sz w:val="22"/>
          <w:szCs w:val="22"/>
          <w:lang w:eastAsia="en-GB"/>
        </w:rPr>
      </w:pPr>
      <w:hyperlink w:anchor="_Toc470102525" w:history="1">
        <w:r w:rsidR="00990432" w:rsidRPr="00625C0A">
          <w:rPr>
            <w:rStyle w:val="Hyperlink"/>
            <w:noProof/>
          </w:rPr>
          <w:t>21</w:t>
        </w:r>
        <w:r w:rsidR="00990432" w:rsidRPr="00DC2B1D">
          <w:rPr>
            <w:noProof/>
            <w:sz w:val="22"/>
            <w:szCs w:val="22"/>
            <w:lang w:eastAsia="en-GB"/>
          </w:rPr>
          <w:tab/>
        </w:r>
        <w:r w:rsidR="00990432" w:rsidRPr="00625C0A">
          <w:rPr>
            <w:rStyle w:val="Hyperlink"/>
            <w:noProof/>
          </w:rPr>
          <w:t>Finance</w:t>
        </w:r>
        <w:r w:rsidR="00990432">
          <w:rPr>
            <w:noProof/>
            <w:webHidden/>
          </w:rPr>
          <w:tab/>
        </w:r>
        <w:r w:rsidR="00485A78">
          <w:rPr>
            <w:noProof/>
            <w:webHidden/>
          </w:rPr>
          <w:fldChar w:fldCharType="begin"/>
        </w:r>
        <w:r w:rsidR="00990432">
          <w:rPr>
            <w:noProof/>
            <w:webHidden/>
          </w:rPr>
          <w:instrText xml:space="preserve"> PAGEREF _Toc470102525 \h </w:instrText>
        </w:r>
        <w:r w:rsidR="00485A78">
          <w:rPr>
            <w:noProof/>
            <w:webHidden/>
          </w:rPr>
        </w:r>
        <w:r w:rsidR="00485A78">
          <w:rPr>
            <w:noProof/>
            <w:webHidden/>
          </w:rPr>
          <w:fldChar w:fldCharType="separate"/>
        </w:r>
        <w:r w:rsidR="00827938">
          <w:rPr>
            <w:noProof/>
            <w:webHidden/>
          </w:rPr>
          <w:t>37</w:t>
        </w:r>
        <w:r w:rsidR="00485A78">
          <w:rPr>
            <w:noProof/>
            <w:webHidden/>
          </w:rPr>
          <w:fldChar w:fldCharType="end"/>
        </w:r>
      </w:hyperlink>
    </w:p>
    <w:p w14:paraId="25A6A746" w14:textId="77777777" w:rsidR="00990432" w:rsidRPr="00DC2B1D" w:rsidRDefault="00F917D9" w:rsidP="00ED2F59">
      <w:pPr>
        <w:pStyle w:val="TOC1"/>
        <w:rPr>
          <w:noProof/>
          <w:sz w:val="22"/>
          <w:szCs w:val="22"/>
          <w:lang w:eastAsia="en-GB"/>
        </w:rPr>
      </w:pPr>
      <w:hyperlink w:anchor="_Toc470102526" w:history="1">
        <w:r w:rsidR="00990432" w:rsidRPr="00625C0A">
          <w:rPr>
            <w:rStyle w:val="Hyperlink"/>
            <w:noProof/>
          </w:rPr>
          <w:t>22</w:t>
        </w:r>
        <w:r w:rsidR="00990432" w:rsidRPr="00DC2B1D">
          <w:rPr>
            <w:noProof/>
            <w:sz w:val="22"/>
            <w:szCs w:val="22"/>
            <w:lang w:eastAsia="en-GB"/>
          </w:rPr>
          <w:tab/>
        </w:r>
        <w:r w:rsidR="00990432" w:rsidRPr="00625C0A">
          <w:rPr>
            <w:rStyle w:val="Hyperlink"/>
            <w:noProof/>
          </w:rPr>
          <w:t>Insurance and indemnity</w:t>
        </w:r>
        <w:r w:rsidR="00990432">
          <w:rPr>
            <w:noProof/>
            <w:webHidden/>
          </w:rPr>
          <w:tab/>
        </w:r>
        <w:r w:rsidR="00485A78">
          <w:rPr>
            <w:noProof/>
            <w:webHidden/>
          </w:rPr>
          <w:fldChar w:fldCharType="begin"/>
        </w:r>
        <w:r w:rsidR="00990432">
          <w:rPr>
            <w:noProof/>
            <w:webHidden/>
          </w:rPr>
          <w:instrText xml:space="preserve"> PAGEREF _Toc470102526 \h </w:instrText>
        </w:r>
        <w:r w:rsidR="00485A78">
          <w:rPr>
            <w:noProof/>
            <w:webHidden/>
          </w:rPr>
        </w:r>
        <w:r w:rsidR="00485A78">
          <w:rPr>
            <w:noProof/>
            <w:webHidden/>
          </w:rPr>
          <w:fldChar w:fldCharType="separate"/>
        </w:r>
        <w:r w:rsidR="00827938">
          <w:rPr>
            <w:noProof/>
            <w:webHidden/>
          </w:rPr>
          <w:t>37</w:t>
        </w:r>
        <w:r w:rsidR="00485A78">
          <w:rPr>
            <w:noProof/>
            <w:webHidden/>
          </w:rPr>
          <w:fldChar w:fldCharType="end"/>
        </w:r>
      </w:hyperlink>
    </w:p>
    <w:p w14:paraId="056BE414" w14:textId="77777777" w:rsidR="00990432" w:rsidRPr="00DC2B1D" w:rsidRDefault="00F917D9" w:rsidP="00ED2F59">
      <w:pPr>
        <w:pStyle w:val="TOC1"/>
        <w:rPr>
          <w:noProof/>
          <w:sz w:val="22"/>
          <w:szCs w:val="22"/>
          <w:lang w:eastAsia="en-GB"/>
        </w:rPr>
      </w:pPr>
      <w:hyperlink w:anchor="_Toc470102527" w:history="1">
        <w:r w:rsidR="00990432" w:rsidRPr="00625C0A">
          <w:rPr>
            <w:rStyle w:val="Hyperlink"/>
            <w:noProof/>
          </w:rPr>
          <w:t>23</w:t>
        </w:r>
        <w:r w:rsidR="00990432" w:rsidRPr="00DC2B1D">
          <w:rPr>
            <w:noProof/>
            <w:sz w:val="22"/>
            <w:szCs w:val="22"/>
            <w:lang w:eastAsia="en-GB"/>
          </w:rPr>
          <w:tab/>
        </w:r>
        <w:r w:rsidR="00990432" w:rsidRPr="00625C0A">
          <w:rPr>
            <w:rStyle w:val="Hyperlink"/>
            <w:noProof/>
          </w:rPr>
          <w:t>IP and development policy</w:t>
        </w:r>
        <w:r w:rsidR="00990432">
          <w:rPr>
            <w:noProof/>
            <w:webHidden/>
          </w:rPr>
          <w:tab/>
        </w:r>
        <w:r w:rsidR="00485A78">
          <w:rPr>
            <w:noProof/>
            <w:webHidden/>
          </w:rPr>
          <w:fldChar w:fldCharType="begin"/>
        </w:r>
        <w:r w:rsidR="00990432">
          <w:rPr>
            <w:noProof/>
            <w:webHidden/>
          </w:rPr>
          <w:instrText xml:space="preserve"> PAGEREF _Toc470102527 \h </w:instrText>
        </w:r>
        <w:r w:rsidR="00485A78">
          <w:rPr>
            <w:noProof/>
            <w:webHidden/>
          </w:rPr>
        </w:r>
        <w:r w:rsidR="00485A78">
          <w:rPr>
            <w:noProof/>
            <w:webHidden/>
          </w:rPr>
          <w:fldChar w:fldCharType="separate"/>
        </w:r>
        <w:r w:rsidR="00827938">
          <w:rPr>
            <w:noProof/>
            <w:webHidden/>
          </w:rPr>
          <w:t>38</w:t>
        </w:r>
        <w:r w:rsidR="00485A78">
          <w:rPr>
            <w:noProof/>
            <w:webHidden/>
          </w:rPr>
          <w:fldChar w:fldCharType="end"/>
        </w:r>
      </w:hyperlink>
    </w:p>
    <w:p w14:paraId="171976DC" w14:textId="77777777" w:rsidR="00990432" w:rsidRPr="00DC2B1D" w:rsidRDefault="00F917D9" w:rsidP="00ED2F59">
      <w:pPr>
        <w:pStyle w:val="TOC1"/>
        <w:rPr>
          <w:noProof/>
          <w:sz w:val="22"/>
          <w:szCs w:val="22"/>
          <w:lang w:eastAsia="en-GB"/>
        </w:rPr>
      </w:pPr>
      <w:hyperlink w:anchor="_Toc470102528" w:history="1">
        <w:r w:rsidR="00990432" w:rsidRPr="00625C0A">
          <w:rPr>
            <w:rStyle w:val="Hyperlink"/>
            <w:noProof/>
          </w:rPr>
          <w:t>24</w:t>
        </w:r>
        <w:r w:rsidR="00990432" w:rsidRPr="00DC2B1D">
          <w:rPr>
            <w:noProof/>
            <w:sz w:val="22"/>
            <w:szCs w:val="22"/>
            <w:lang w:eastAsia="en-GB"/>
          </w:rPr>
          <w:tab/>
        </w:r>
        <w:r w:rsidR="00990432" w:rsidRPr="00625C0A">
          <w:rPr>
            <w:rStyle w:val="Hyperlink"/>
            <w:noProof/>
          </w:rPr>
          <w:t>Publication policy</w:t>
        </w:r>
        <w:r w:rsidR="00990432">
          <w:rPr>
            <w:noProof/>
            <w:webHidden/>
          </w:rPr>
          <w:tab/>
        </w:r>
        <w:r w:rsidR="00485A78">
          <w:rPr>
            <w:noProof/>
            <w:webHidden/>
          </w:rPr>
          <w:fldChar w:fldCharType="begin"/>
        </w:r>
        <w:r w:rsidR="00990432">
          <w:rPr>
            <w:noProof/>
            <w:webHidden/>
          </w:rPr>
          <w:instrText xml:space="preserve"> PAGEREF _Toc470102528 \h </w:instrText>
        </w:r>
        <w:r w:rsidR="00485A78">
          <w:rPr>
            <w:noProof/>
            <w:webHidden/>
          </w:rPr>
        </w:r>
        <w:r w:rsidR="00485A78">
          <w:rPr>
            <w:noProof/>
            <w:webHidden/>
          </w:rPr>
          <w:fldChar w:fldCharType="separate"/>
        </w:r>
        <w:r w:rsidR="00827938">
          <w:rPr>
            <w:noProof/>
            <w:webHidden/>
          </w:rPr>
          <w:t>39</w:t>
        </w:r>
        <w:r w:rsidR="00485A78">
          <w:rPr>
            <w:noProof/>
            <w:webHidden/>
          </w:rPr>
          <w:fldChar w:fldCharType="end"/>
        </w:r>
      </w:hyperlink>
    </w:p>
    <w:p w14:paraId="46F1941D" w14:textId="77777777" w:rsidR="00990432" w:rsidRPr="00DC2B1D" w:rsidRDefault="00F917D9">
      <w:pPr>
        <w:pStyle w:val="TOC2"/>
        <w:tabs>
          <w:tab w:val="left" w:pos="880"/>
          <w:tab w:val="right" w:leader="dot" w:pos="9016"/>
        </w:tabs>
        <w:rPr>
          <w:noProof/>
          <w:sz w:val="22"/>
          <w:szCs w:val="22"/>
          <w:lang w:eastAsia="en-GB"/>
        </w:rPr>
      </w:pPr>
      <w:hyperlink w:anchor="_Toc470102529" w:history="1">
        <w:r w:rsidR="00990432" w:rsidRPr="00625C0A">
          <w:rPr>
            <w:rStyle w:val="Hyperlink"/>
            <w:rFonts w:cs="Tahoma"/>
            <w:noProof/>
          </w:rPr>
          <w:t>24.1</w:t>
        </w:r>
        <w:r w:rsidR="00990432" w:rsidRPr="00DC2B1D">
          <w:rPr>
            <w:noProof/>
            <w:sz w:val="22"/>
            <w:szCs w:val="22"/>
            <w:lang w:eastAsia="en-GB"/>
          </w:rPr>
          <w:tab/>
        </w:r>
        <w:r w:rsidR="00990432" w:rsidRPr="00625C0A">
          <w:rPr>
            <w:rStyle w:val="Hyperlink"/>
            <w:rFonts w:cs="Tahoma"/>
            <w:noProof/>
          </w:rPr>
          <w:t>Before the official completion of the Trial,</w:t>
        </w:r>
        <w:r w:rsidR="00990432">
          <w:rPr>
            <w:noProof/>
            <w:webHidden/>
          </w:rPr>
          <w:tab/>
        </w:r>
        <w:r w:rsidR="00485A78">
          <w:rPr>
            <w:noProof/>
            <w:webHidden/>
          </w:rPr>
          <w:fldChar w:fldCharType="begin"/>
        </w:r>
        <w:r w:rsidR="00990432">
          <w:rPr>
            <w:noProof/>
            <w:webHidden/>
          </w:rPr>
          <w:instrText xml:space="preserve"> PAGEREF _Toc470102529 \h </w:instrText>
        </w:r>
        <w:r w:rsidR="00485A78">
          <w:rPr>
            <w:noProof/>
            <w:webHidden/>
          </w:rPr>
        </w:r>
        <w:r w:rsidR="00485A78">
          <w:rPr>
            <w:noProof/>
            <w:webHidden/>
          </w:rPr>
          <w:fldChar w:fldCharType="separate"/>
        </w:r>
        <w:r w:rsidR="00827938">
          <w:rPr>
            <w:noProof/>
            <w:webHidden/>
          </w:rPr>
          <w:t>39</w:t>
        </w:r>
        <w:r w:rsidR="00485A78">
          <w:rPr>
            <w:noProof/>
            <w:webHidden/>
          </w:rPr>
          <w:fldChar w:fldCharType="end"/>
        </w:r>
      </w:hyperlink>
    </w:p>
    <w:p w14:paraId="3CCBED3C" w14:textId="77777777" w:rsidR="00990432" w:rsidRPr="00DC2B1D" w:rsidRDefault="00F917D9">
      <w:pPr>
        <w:pStyle w:val="TOC2"/>
        <w:tabs>
          <w:tab w:val="left" w:pos="880"/>
          <w:tab w:val="right" w:leader="dot" w:pos="9016"/>
        </w:tabs>
        <w:rPr>
          <w:noProof/>
          <w:sz w:val="22"/>
          <w:szCs w:val="22"/>
          <w:lang w:eastAsia="en-GB"/>
        </w:rPr>
      </w:pPr>
      <w:hyperlink w:anchor="_Toc470102530" w:history="1">
        <w:r w:rsidR="00990432" w:rsidRPr="00625C0A">
          <w:rPr>
            <w:rStyle w:val="Hyperlink"/>
            <w:rFonts w:cs="Tahoma"/>
            <w:noProof/>
          </w:rPr>
          <w:t>24.2</w:t>
        </w:r>
        <w:r w:rsidR="00990432" w:rsidRPr="00DC2B1D">
          <w:rPr>
            <w:noProof/>
            <w:sz w:val="22"/>
            <w:szCs w:val="22"/>
            <w:lang w:eastAsia="en-GB"/>
          </w:rPr>
          <w:tab/>
        </w:r>
        <w:r w:rsidR="00990432" w:rsidRPr="00625C0A">
          <w:rPr>
            <w:rStyle w:val="Hyperlink"/>
            <w:rFonts w:cs="Tahoma"/>
            <w:noProof/>
          </w:rPr>
          <w:t>Up to 180 days after the official completion of the Trial</w:t>
        </w:r>
        <w:r w:rsidR="00990432">
          <w:rPr>
            <w:noProof/>
            <w:webHidden/>
          </w:rPr>
          <w:tab/>
        </w:r>
        <w:r w:rsidR="00485A78">
          <w:rPr>
            <w:noProof/>
            <w:webHidden/>
          </w:rPr>
          <w:fldChar w:fldCharType="begin"/>
        </w:r>
        <w:r w:rsidR="00990432">
          <w:rPr>
            <w:noProof/>
            <w:webHidden/>
          </w:rPr>
          <w:instrText xml:space="preserve"> PAGEREF _Toc470102530 \h </w:instrText>
        </w:r>
        <w:r w:rsidR="00485A78">
          <w:rPr>
            <w:noProof/>
            <w:webHidden/>
          </w:rPr>
        </w:r>
        <w:r w:rsidR="00485A78">
          <w:rPr>
            <w:noProof/>
            <w:webHidden/>
          </w:rPr>
          <w:fldChar w:fldCharType="separate"/>
        </w:r>
        <w:r w:rsidR="00827938">
          <w:rPr>
            <w:noProof/>
            <w:webHidden/>
          </w:rPr>
          <w:t>39</w:t>
        </w:r>
        <w:r w:rsidR="00485A78">
          <w:rPr>
            <w:noProof/>
            <w:webHidden/>
          </w:rPr>
          <w:fldChar w:fldCharType="end"/>
        </w:r>
      </w:hyperlink>
    </w:p>
    <w:p w14:paraId="7658E252" w14:textId="77777777" w:rsidR="00990432" w:rsidRPr="00DC2B1D" w:rsidRDefault="00F917D9">
      <w:pPr>
        <w:pStyle w:val="TOC2"/>
        <w:tabs>
          <w:tab w:val="left" w:pos="880"/>
          <w:tab w:val="right" w:leader="dot" w:pos="9016"/>
        </w:tabs>
        <w:rPr>
          <w:noProof/>
          <w:sz w:val="22"/>
          <w:szCs w:val="22"/>
          <w:lang w:eastAsia="en-GB"/>
        </w:rPr>
      </w:pPr>
      <w:hyperlink w:anchor="_Toc470102531" w:history="1">
        <w:r w:rsidR="00990432" w:rsidRPr="00625C0A">
          <w:rPr>
            <w:rStyle w:val="Hyperlink"/>
            <w:rFonts w:cs="Tahoma"/>
            <w:noProof/>
          </w:rPr>
          <w:t>24.3</w:t>
        </w:r>
        <w:r w:rsidR="00990432" w:rsidRPr="00DC2B1D">
          <w:rPr>
            <w:noProof/>
            <w:sz w:val="22"/>
            <w:szCs w:val="22"/>
            <w:lang w:eastAsia="en-GB"/>
          </w:rPr>
          <w:tab/>
        </w:r>
        <w:r w:rsidR="00990432" w:rsidRPr="00625C0A">
          <w:rPr>
            <w:rStyle w:val="Hyperlink"/>
            <w:rFonts w:cs="Tahoma"/>
            <w:noProof/>
          </w:rPr>
          <w:t>Beyond 180 days after the official completion of the Trial</w:t>
        </w:r>
        <w:r w:rsidR="00990432">
          <w:rPr>
            <w:noProof/>
            <w:webHidden/>
          </w:rPr>
          <w:tab/>
        </w:r>
        <w:r w:rsidR="00485A78">
          <w:rPr>
            <w:noProof/>
            <w:webHidden/>
          </w:rPr>
          <w:fldChar w:fldCharType="begin"/>
        </w:r>
        <w:r w:rsidR="00990432">
          <w:rPr>
            <w:noProof/>
            <w:webHidden/>
          </w:rPr>
          <w:instrText xml:space="preserve"> PAGEREF _Toc470102531 \h </w:instrText>
        </w:r>
        <w:r w:rsidR="00485A78">
          <w:rPr>
            <w:noProof/>
            <w:webHidden/>
          </w:rPr>
        </w:r>
        <w:r w:rsidR="00485A78">
          <w:rPr>
            <w:noProof/>
            <w:webHidden/>
          </w:rPr>
          <w:fldChar w:fldCharType="separate"/>
        </w:r>
        <w:r w:rsidR="00827938">
          <w:rPr>
            <w:noProof/>
            <w:webHidden/>
          </w:rPr>
          <w:t>40</w:t>
        </w:r>
        <w:r w:rsidR="00485A78">
          <w:rPr>
            <w:noProof/>
            <w:webHidden/>
          </w:rPr>
          <w:fldChar w:fldCharType="end"/>
        </w:r>
      </w:hyperlink>
    </w:p>
    <w:p w14:paraId="4AEF6796" w14:textId="77777777" w:rsidR="00990432" w:rsidRPr="00DC2B1D" w:rsidRDefault="00F917D9" w:rsidP="00ED2F59">
      <w:pPr>
        <w:pStyle w:val="TOC1"/>
        <w:rPr>
          <w:noProof/>
          <w:sz w:val="22"/>
          <w:szCs w:val="22"/>
          <w:lang w:eastAsia="en-GB"/>
        </w:rPr>
      </w:pPr>
      <w:hyperlink w:anchor="_Toc470102532" w:history="1">
        <w:r w:rsidR="00990432" w:rsidRPr="00625C0A">
          <w:rPr>
            <w:rStyle w:val="Hyperlink"/>
            <w:noProof/>
          </w:rPr>
          <w:t>25</w:t>
        </w:r>
        <w:r w:rsidR="00990432" w:rsidRPr="00DC2B1D">
          <w:rPr>
            <w:noProof/>
            <w:sz w:val="22"/>
            <w:szCs w:val="22"/>
            <w:lang w:eastAsia="en-GB"/>
          </w:rPr>
          <w:tab/>
        </w:r>
        <w:r w:rsidR="00990432" w:rsidRPr="00625C0A">
          <w:rPr>
            <w:rStyle w:val="Hyperlink"/>
            <w:noProof/>
          </w:rPr>
          <w:t>Statement of compliance</w:t>
        </w:r>
        <w:r w:rsidR="00990432">
          <w:rPr>
            <w:noProof/>
            <w:webHidden/>
          </w:rPr>
          <w:tab/>
        </w:r>
        <w:r w:rsidR="00485A78">
          <w:rPr>
            <w:noProof/>
            <w:webHidden/>
          </w:rPr>
          <w:fldChar w:fldCharType="begin"/>
        </w:r>
        <w:r w:rsidR="00990432">
          <w:rPr>
            <w:noProof/>
            <w:webHidden/>
          </w:rPr>
          <w:instrText xml:space="preserve"> PAGEREF _Toc470102532 \h </w:instrText>
        </w:r>
        <w:r w:rsidR="00485A78">
          <w:rPr>
            <w:noProof/>
            <w:webHidden/>
          </w:rPr>
        </w:r>
        <w:r w:rsidR="00485A78">
          <w:rPr>
            <w:noProof/>
            <w:webHidden/>
          </w:rPr>
          <w:fldChar w:fldCharType="separate"/>
        </w:r>
        <w:r w:rsidR="00827938">
          <w:rPr>
            <w:noProof/>
            <w:webHidden/>
          </w:rPr>
          <w:t>40</w:t>
        </w:r>
        <w:r w:rsidR="00485A78">
          <w:rPr>
            <w:noProof/>
            <w:webHidden/>
          </w:rPr>
          <w:fldChar w:fldCharType="end"/>
        </w:r>
      </w:hyperlink>
    </w:p>
    <w:p w14:paraId="5D65D2D0" w14:textId="77777777" w:rsidR="00990432" w:rsidRPr="00DC2B1D" w:rsidRDefault="00F917D9" w:rsidP="00ED2F59">
      <w:pPr>
        <w:pStyle w:val="TOC1"/>
        <w:rPr>
          <w:noProof/>
          <w:sz w:val="22"/>
          <w:szCs w:val="22"/>
          <w:lang w:eastAsia="en-GB"/>
        </w:rPr>
      </w:pPr>
      <w:hyperlink w:anchor="_Toc470102533" w:history="1">
        <w:r w:rsidR="00990432" w:rsidRPr="00625C0A">
          <w:rPr>
            <w:rStyle w:val="Hyperlink"/>
            <w:noProof/>
          </w:rPr>
          <w:t>26</w:t>
        </w:r>
        <w:r w:rsidR="00990432" w:rsidRPr="00DC2B1D">
          <w:rPr>
            <w:noProof/>
            <w:sz w:val="22"/>
            <w:szCs w:val="22"/>
            <w:lang w:eastAsia="en-GB"/>
          </w:rPr>
          <w:tab/>
        </w:r>
        <w:r w:rsidR="00990432" w:rsidRPr="00625C0A">
          <w:rPr>
            <w:rStyle w:val="Hyperlink"/>
            <w:noProof/>
          </w:rPr>
          <w:t>List of Protocol appendices</w:t>
        </w:r>
        <w:r w:rsidR="00990432">
          <w:rPr>
            <w:noProof/>
            <w:webHidden/>
          </w:rPr>
          <w:tab/>
        </w:r>
        <w:r w:rsidR="00485A78">
          <w:rPr>
            <w:noProof/>
            <w:webHidden/>
          </w:rPr>
          <w:fldChar w:fldCharType="begin"/>
        </w:r>
        <w:r w:rsidR="00990432">
          <w:rPr>
            <w:noProof/>
            <w:webHidden/>
          </w:rPr>
          <w:instrText xml:space="preserve"> PAGEREF _Toc470102533 \h </w:instrText>
        </w:r>
        <w:r w:rsidR="00485A78">
          <w:rPr>
            <w:noProof/>
            <w:webHidden/>
          </w:rPr>
        </w:r>
        <w:r w:rsidR="00485A78">
          <w:rPr>
            <w:noProof/>
            <w:webHidden/>
          </w:rPr>
          <w:fldChar w:fldCharType="separate"/>
        </w:r>
        <w:r w:rsidR="00827938">
          <w:rPr>
            <w:noProof/>
            <w:webHidden/>
          </w:rPr>
          <w:t>41</w:t>
        </w:r>
        <w:r w:rsidR="00485A78">
          <w:rPr>
            <w:noProof/>
            <w:webHidden/>
          </w:rPr>
          <w:fldChar w:fldCharType="end"/>
        </w:r>
      </w:hyperlink>
    </w:p>
    <w:p w14:paraId="26554FEE" w14:textId="77777777" w:rsidR="00990432" w:rsidRPr="00DC2B1D" w:rsidRDefault="00F917D9" w:rsidP="00ED2F59">
      <w:pPr>
        <w:pStyle w:val="TOC1"/>
        <w:rPr>
          <w:noProof/>
          <w:sz w:val="22"/>
          <w:szCs w:val="22"/>
          <w:lang w:eastAsia="en-GB"/>
        </w:rPr>
      </w:pPr>
      <w:hyperlink w:anchor="_Toc470102534" w:history="1">
        <w:r w:rsidR="00990432" w:rsidRPr="00625C0A">
          <w:rPr>
            <w:rStyle w:val="Hyperlink"/>
            <w:noProof/>
          </w:rPr>
          <w:t>27</w:t>
        </w:r>
        <w:r w:rsidR="00990432" w:rsidRPr="00DC2B1D">
          <w:rPr>
            <w:noProof/>
            <w:sz w:val="22"/>
            <w:szCs w:val="22"/>
            <w:lang w:eastAsia="en-GB"/>
          </w:rPr>
          <w:tab/>
        </w:r>
        <w:r w:rsidR="00990432" w:rsidRPr="00625C0A">
          <w:rPr>
            <w:rStyle w:val="Hyperlink"/>
            <w:noProof/>
          </w:rPr>
          <w:t>References</w:t>
        </w:r>
        <w:r w:rsidR="00990432">
          <w:rPr>
            <w:noProof/>
            <w:webHidden/>
          </w:rPr>
          <w:tab/>
        </w:r>
        <w:r w:rsidR="00485A78">
          <w:rPr>
            <w:noProof/>
            <w:webHidden/>
          </w:rPr>
          <w:fldChar w:fldCharType="begin"/>
        </w:r>
        <w:r w:rsidR="00990432">
          <w:rPr>
            <w:noProof/>
            <w:webHidden/>
          </w:rPr>
          <w:instrText xml:space="preserve"> PAGEREF _Toc470102534 \h </w:instrText>
        </w:r>
        <w:r w:rsidR="00485A78">
          <w:rPr>
            <w:noProof/>
            <w:webHidden/>
          </w:rPr>
        </w:r>
        <w:r w:rsidR="00485A78">
          <w:rPr>
            <w:noProof/>
            <w:webHidden/>
          </w:rPr>
          <w:fldChar w:fldCharType="separate"/>
        </w:r>
        <w:r w:rsidR="00827938">
          <w:rPr>
            <w:noProof/>
            <w:webHidden/>
          </w:rPr>
          <w:t>41</w:t>
        </w:r>
        <w:r w:rsidR="00485A78">
          <w:rPr>
            <w:noProof/>
            <w:webHidden/>
          </w:rPr>
          <w:fldChar w:fldCharType="end"/>
        </w:r>
      </w:hyperlink>
    </w:p>
    <w:p w14:paraId="31E81330" w14:textId="77777777" w:rsidR="00541D9C" w:rsidRPr="003C5180" w:rsidRDefault="00485A78">
      <w:pPr>
        <w:rPr>
          <w:rFonts w:cs="Tahoma"/>
          <w:sz w:val="22"/>
          <w:szCs w:val="22"/>
        </w:rPr>
      </w:pPr>
      <w:r w:rsidRPr="003C5180">
        <w:rPr>
          <w:rFonts w:cs="Tahoma"/>
          <w:sz w:val="22"/>
          <w:szCs w:val="22"/>
        </w:rPr>
        <w:fldChar w:fldCharType="end"/>
      </w:r>
    </w:p>
    <w:p w14:paraId="2F34D4FB" w14:textId="77777777" w:rsidR="00E946AF" w:rsidRPr="00E946AF" w:rsidRDefault="00B2656A" w:rsidP="00752F0E">
      <w:pPr>
        <w:widowControl w:val="0"/>
        <w:tabs>
          <w:tab w:val="left" w:pos="426"/>
        </w:tabs>
        <w:autoSpaceDE w:val="0"/>
        <w:autoSpaceDN w:val="0"/>
        <w:adjustRightInd w:val="0"/>
        <w:spacing w:after="0" w:line="240" w:lineRule="auto"/>
        <w:ind w:left="459"/>
        <w:contextualSpacing/>
        <w:rPr>
          <w:lang w:eastAsia="en-GB"/>
        </w:rPr>
      </w:pPr>
      <w:r w:rsidRPr="003C5180">
        <w:br w:type="page"/>
      </w:r>
      <w:bookmarkStart w:id="7" w:name="_Toc261532635"/>
    </w:p>
    <w:p w14:paraId="18DB7209" w14:textId="77777777" w:rsidR="00E946AF" w:rsidRPr="00752F0E" w:rsidRDefault="00752F0E" w:rsidP="00752F0E">
      <w:pPr>
        <w:pStyle w:val="Heading1"/>
        <w:numPr>
          <w:ilvl w:val="0"/>
          <w:numId w:val="20"/>
        </w:numPr>
        <w:rPr>
          <w:rFonts w:ascii="Calibri" w:hAnsi="Calibri"/>
        </w:rPr>
      </w:pPr>
      <w:bookmarkStart w:id="8" w:name="_Toc470102454"/>
      <w:r>
        <w:rPr>
          <w:rFonts w:ascii="Calibri" w:hAnsi="Calibri"/>
        </w:rPr>
        <w:t>Lis</w:t>
      </w:r>
      <w:r w:rsidR="007C7E31" w:rsidRPr="003C5180">
        <w:rPr>
          <w:rFonts w:ascii="Calibri" w:hAnsi="Calibri"/>
        </w:rPr>
        <w:t>t of a</w:t>
      </w:r>
      <w:r w:rsidR="004571CC" w:rsidRPr="003C5180">
        <w:rPr>
          <w:rFonts w:ascii="Calibri" w:hAnsi="Calibri"/>
        </w:rPr>
        <w:t>bbreviations</w:t>
      </w:r>
      <w:bookmarkEnd w:id="7"/>
      <w:bookmarkEnd w:id="8"/>
      <w:r w:rsidR="00B1288B" w:rsidRPr="003C5180">
        <w:rPr>
          <w:rFonts w:ascii="Calibri" w:hAnsi="Calibri"/>
        </w:rPr>
        <w:t xml:space="preserve"> </w:t>
      </w:r>
    </w:p>
    <w:p w14:paraId="35B2765F" w14:textId="77777777" w:rsidR="004571CC" w:rsidRPr="003C5180" w:rsidRDefault="004571CC" w:rsidP="00610A21">
      <w:pPr>
        <w:pStyle w:val="Listofabbreviations"/>
        <w:rPr>
          <w:rFonts w:cs="Tahoma"/>
        </w:rPr>
      </w:pPr>
      <w:r w:rsidRPr="003C5180">
        <w:rPr>
          <w:rFonts w:cs="Tahoma"/>
        </w:rPr>
        <w:t>AE</w:t>
      </w:r>
      <w:r w:rsidRPr="003C5180">
        <w:rPr>
          <w:rFonts w:cs="Tahoma"/>
        </w:rPr>
        <w:tab/>
        <w:t>Adverse Event</w:t>
      </w:r>
    </w:p>
    <w:p w14:paraId="1A73EFB5" w14:textId="77777777" w:rsidR="004571CC" w:rsidRPr="003C5180" w:rsidRDefault="004571CC" w:rsidP="00610A21">
      <w:pPr>
        <w:pStyle w:val="Listofabbreviations"/>
        <w:rPr>
          <w:rFonts w:cs="Tahoma"/>
        </w:rPr>
      </w:pPr>
      <w:r w:rsidRPr="003C5180">
        <w:rPr>
          <w:rFonts w:cs="Tahoma"/>
        </w:rPr>
        <w:t>AR</w:t>
      </w:r>
      <w:r w:rsidRPr="003C5180">
        <w:rPr>
          <w:rFonts w:cs="Tahoma"/>
        </w:rPr>
        <w:tab/>
        <w:t>Adverse Reaction</w:t>
      </w:r>
    </w:p>
    <w:p w14:paraId="6CBFBA62" w14:textId="77777777" w:rsidR="004571CC" w:rsidRPr="003C5180" w:rsidRDefault="004571CC" w:rsidP="00610A21">
      <w:pPr>
        <w:pStyle w:val="Listofabbreviations"/>
        <w:rPr>
          <w:rFonts w:cs="Tahoma"/>
        </w:rPr>
      </w:pPr>
      <w:r w:rsidRPr="003C5180">
        <w:rPr>
          <w:rFonts w:cs="Tahoma"/>
        </w:rPr>
        <w:t>CA</w:t>
      </w:r>
      <w:r w:rsidRPr="003C5180">
        <w:rPr>
          <w:rFonts w:cs="Tahoma"/>
        </w:rPr>
        <w:tab/>
        <w:t>Competent Authority</w:t>
      </w:r>
    </w:p>
    <w:p w14:paraId="125E3452" w14:textId="77777777" w:rsidR="004571CC" w:rsidRPr="003C5180" w:rsidRDefault="004571CC" w:rsidP="00610A21">
      <w:pPr>
        <w:pStyle w:val="Listofabbreviations"/>
        <w:rPr>
          <w:rFonts w:cs="Tahoma"/>
        </w:rPr>
      </w:pPr>
      <w:r w:rsidRPr="003C5180">
        <w:rPr>
          <w:rFonts w:cs="Tahoma"/>
        </w:rPr>
        <w:t>CI</w:t>
      </w:r>
      <w:r w:rsidRPr="003C5180">
        <w:rPr>
          <w:rFonts w:cs="Tahoma"/>
        </w:rPr>
        <w:tab/>
        <w:t>Chief Investigator</w:t>
      </w:r>
    </w:p>
    <w:p w14:paraId="4309E4DD" w14:textId="77777777" w:rsidR="004571CC" w:rsidRPr="003C5180" w:rsidRDefault="004571CC" w:rsidP="00610A21">
      <w:pPr>
        <w:pStyle w:val="Listofabbreviations"/>
        <w:rPr>
          <w:rFonts w:cs="Tahoma"/>
        </w:rPr>
      </w:pPr>
      <w:r w:rsidRPr="003C5180">
        <w:rPr>
          <w:rFonts w:cs="Tahoma"/>
        </w:rPr>
        <w:t>CRF</w:t>
      </w:r>
      <w:r w:rsidRPr="003C5180">
        <w:rPr>
          <w:rFonts w:cs="Tahoma"/>
        </w:rPr>
        <w:tab/>
        <w:t>Case Report Form</w:t>
      </w:r>
    </w:p>
    <w:p w14:paraId="6D9DB92A" w14:textId="77777777" w:rsidR="004571CC" w:rsidRPr="003C5180" w:rsidRDefault="004571CC" w:rsidP="00610A21">
      <w:pPr>
        <w:pStyle w:val="Listofabbreviations"/>
        <w:rPr>
          <w:rFonts w:cs="Tahoma"/>
        </w:rPr>
      </w:pPr>
      <w:r w:rsidRPr="003C5180">
        <w:rPr>
          <w:rFonts w:cs="Tahoma"/>
        </w:rPr>
        <w:t>CTA</w:t>
      </w:r>
      <w:r w:rsidRPr="003C5180">
        <w:rPr>
          <w:rFonts w:cs="Tahoma"/>
        </w:rPr>
        <w:tab/>
        <w:t>Clinical Trial Authorisation</w:t>
      </w:r>
    </w:p>
    <w:p w14:paraId="56D57A04" w14:textId="77777777" w:rsidR="004571CC" w:rsidRPr="003C5180" w:rsidRDefault="004571CC" w:rsidP="00610A21">
      <w:pPr>
        <w:pStyle w:val="Listofabbreviations"/>
        <w:rPr>
          <w:rFonts w:cs="Tahoma"/>
        </w:rPr>
      </w:pPr>
      <w:r w:rsidRPr="003C5180">
        <w:rPr>
          <w:rFonts w:cs="Tahoma"/>
        </w:rPr>
        <w:t>CTIMP</w:t>
      </w:r>
      <w:r w:rsidRPr="003C5180">
        <w:rPr>
          <w:rFonts w:cs="Tahoma"/>
        </w:rPr>
        <w:tab/>
        <w:t>Clinical Trial of Investigational Medicinal Product</w:t>
      </w:r>
      <w:r w:rsidRPr="003C5180">
        <w:rPr>
          <w:rFonts w:cs="Tahoma"/>
        </w:rPr>
        <w:tab/>
      </w:r>
    </w:p>
    <w:p w14:paraId="56B6CBBC" w14:textId="77777777" w:rsidR="004571CC" w:rsidRPr="003C5180" w:rsidRDefault="004571CC" w:rsidP="00610A21">
      <w:pPr>
        <w:pStyle w:val="Listofabbreviations"/>
        <w:rPr>
          <w:rFonts w:cs="Tahoma"/>
        </w:rPr>
      </w:pPr>
      <w:r w:rsidRPr="003C5180">
        <w:rPr>
          <w:rFonts w:cs="Tahoma"/>
        </w:rPr>
        <w:t>DMC</w:t>
      </w:r>
      <w:r w:rsidRPr="003C5180">
        <w:rPr>
          <w:rFonts w:cs="Tahoma"/>
        </w:rPr>
        <w:tab/>
        <w:t>Data Monitoring Committee</w:t>
      </w:r>
    </w:p>
    <w:p w14:paraId="3DB2D4CC" w14:textId="77777777" w:rsidR="007E48ED" w:rsidRPr="003C5180" w:rsidRDefault="007E48ED" w:rsidP="00610A21">
      <w:pPr>
        <w:pStyle w:val="Listofabbreviations"/>
        <w:rPr>
          <w:rFonts w:cs="Tahoma"/>
        </w:rPr>
      </w:pPr>
      <w:r w:rsidRPr="003C5180">
        <w:rPr>
          <w:rFonts w:cs="Tahoma"/>
        </w:rPr>
        <w:t>DSUR</w:t>
      </w:r>
      <w:r w:rsidRPr="003C5180">
        <w:rPr>
          <w:rFonts w:cs="Tahoma"/>
        </w:rPr>
        <w:tab/>
        <w:t>Development Safety Update Report</w:t>
      </w:r>
    </w:p>
    <w:p w14:paraId="109A665C" w14:textId="77777777" w:rsidR="004571CC" w:rsidRPr="003C5180" w:rsidRDefault="004571CC" w:rsidP="00610A21">
      <w:pPr>
        <w:pStyle w:val="Listofabbreviations"/>
        <w:rPr>
          <w:rFonts w:cs="Tahoma"/>
        </w:rPr>
      </w:pPr>
      <w:r w:rsidRPr="003C5180">
        <w:rPr>
          <w:rFonts w:cs="Tahoma"/>
        </w:rPr>
        <w:t>EMA</w:t>
      </w:r>
      <w:r w:rsidRPr="003C5180">
        <w:rPr>
          <w:rFonts w:cs="Tahoma"/>
        </w:rPr>
        <w:tab/>
        <w:t>European Medicines Agency</w:t>
      </w:r>
    </w:p>
    <w:p w14:paraId="0E559F82" w14:textId="77777777" w:rsidR="004571CC" w:rsidRPr="003C5180" w:rsidRDefault="004571CC" w:rsidP="00610A21">
      <w:pPr>
        <w:pStyle w:val="Listofabbreviations"/>
        <w:rPr>
          <w:rFonts w:cs="Tahoma"/>
        </w:rPr>
      </w:pPr>
      <w:r w:rsidRPr="003C5180">
        <w:rPr>
          <w:rFonts w:cs="Tahoma"/>
        </w:rPr>
        <w:t>EU</w:t>
      </w:r>
      <w:r w:rsidRPr="003C5180">
        <w:rPr>
          <w:rFonts w:cs="Tahoma"/>
        </w:rPr>
        <w:tab/>
        <w:t>European Union</w:t>
      </w:r>
    </w:p>
    <w:p w14:paraId="05D4E7AA" w14:textId="77777777" w:rsidR="004571CC" w:rsidRPr="003C5180" w:rsidRDefault="004571CC" w:rsidP="00610A21">
      <w:pPr>
        <w:pStyle w:val="Listofabbreviations"/>
        <w:rPr>
          <w:rFonts w:cs="Tahoma"/>
        </w:rPr>
      </w:pPr>
      <w:r w:rsidRPr="003C5180">
        <w:rPr>
          <w:rFonts w:cs="Tahoma"/>
        </w:rPr>
        <w:t>EUCTD</w:t>
      </w:r>
      <w:r w:rsidRPr="003C5180">
        <w:rPr>
          <w:rFonts w:cs="Tahoma"/>
        </w:rPr>
        <w:tab/>
        <w:t>European Clinical Trials Directive</w:t>
      </w:r>
    </w:p>
    <w:p w14:paraId="53C82964" w14:textId="77777777" w:rsidR="004571CC" w:rsidRPr="003C5180" w:rsidRDefault="004571CC" w:rsidP="00610A21">
      <w:pPr>
        <w:pStyle w:val="Listofabbreviations"/>
        <w:rPr>
          <w:rFonts w:cs="Tahoma"/>
        </w:rPr>
      </w:pPr>
      <w:r w:rsidRPr="003C5180">
        <w:rPr>
          <w:rFonts w:cs="Tahoma"/>
        </w:rPr>
        <w:t>EudraCT</w:t>
      </w:r>
      <w:r w:rsidRPr="003C5180">
        <w:rPr>
          <w:rFonts w:cs="Tahoma"/>
        </w:rPr>
        <w:tab/>
        <w:t>European Clinical Trials Database</w:t>
      </w:r>
    </w:p>
    <w:p w14:paraId="40E8C9DA" w14:textId="77777777" w:rsidR="00E946AF" w:rsidRDefault="00E946AF" w:rsidP="00610A21">
      <w:pPr>
        <w:pStyle w:val="Listofabbreviations"/>
        <w:rPr>
          <w:rFonts w:cs="Tahoma"/>
        </w:rPr>
      </w:pPr>
      <w:r>
        <w:rPr>
          <w:rFonts w:cs="Tahoma"/>
        </w:rPr>
        <w:t>fHbp</w:t>
      </w:r>
      <w:r>
        <w:rPr>
          <w:rFonts w:cs="Tahoma"/>
        </w:rPr>
        <w:tab/>
        <w:t xml:space="preserve">factor H binding protein </w:t>
      </w:r>
    </w:p>
    <w:p w14:paraId="3D9498F2" w14:textId="77777777" w:rsidR="00E946AF" w:rsidRDefault="004571CC" w:rsidP="00610A21">
      <w:pPr>
        <w:pStyle w:val="Listofabbreviations"/>
        <w:rPr>
          <w:rFonts w:cs="Tahoma"/>
        </w:rPr>
      </w:pPr>
      <w:r w:rsidRPr="003C5180">
        <w:rPr>
          <w:rFonts w:cs="Tahoma"/>
        </w:rPr>
        <w:t>GCP</w:t>
      </w:r>
      <w:r w:rsidR="00E946AF">
        <w:rPr>
          <w:rFonts w:cs="Tahoma"/>
        </w:rPr>
        <w:tab/>
      </w:r>
      <w:r w:rsidR="00E946AF" w:rsidRPr="003C5180">
        <w:rPr>
          <w:rFonts w:cs="Tahoma"/>
        </w:rPr>
        <w:t>Good Clinical Practice</w:t>
      </w:r>
    </w:p>
    <w:p w14:paraId="08BC5336" w14:textId="77777777" w:rsidR="009D0045" w:rsidRDefault="009D0045" w:rsidP="00610A21">
      <w:pPr>
        <w:pStyle w:val="Listofabbreviations"/>
        <w:rPr>
          <w:rFonts w:cs="Tahoma"/>
        </w:rPr>
      </w:pPr>
      <w:r>
        <w:rPr>
          <w:rFonts w:cs="Tahoma"/>
        </w:rPr>
        <w:t>GMT</w:t>
      </w:r>
      <w:r>
        <w:rPr>
          <w:rFonts w:cs="Tahoma"/>
        </w:rPr>
        <w:tab/>
        <w:t>Geometric Mean Titres</w:t>
      </w:r>
    </w:p>
    <w:p w14:paraId="3BD0E32F" w14:textId="77777777" w:rsidR="00983E69" w:rsidRDefault="00983E69" w:rsidP="00610A21">
      <w:pPr>
        <w:pStyle w:val="Listofabbreviations"/>
        <w:rPr>
          <w:rFonts w:cs="Tahoma"/>
        </w:rPr>
      </w:pPr>
      <w:r>
        <w:rPr>
          <w:rFonts w:cs="Tahoma"/>
        </w:rPr>
        <w:t>HRA</w:t>
      </w:r>
      <w:r>
        <w:rPr>
          <w:rFonts w:cs="Tahoma"/>
        </w:rPr>
        <w:tab/>
        <w:t>Health Research Authority</w:t>
      </w:r>
    </w:p>
    <w:p w14:paraId="57A84E20" w14:textId="77777777" w:rsidR="004571CC" w:rsidRPr="003C5180" w:rsidRDefault="00E946AF" w:rsidP="00610A21">
      <w:pPr>
        <w:pStyle w:val="Listofabbreviations"/>
        <w:rPr>
          <w:rFonts w:cs="Tahoma"/>
        </w:rPr>
      </w:pPr>
      <w:r>
        <w:rPr>
          <w:rFonts w:cs="Tahoma"/>
        </w:rPr>
        <w:t>hSBA</w:t>
      </w:r>
      <w:r w:rsidR="004571CC" w:rsidRPr="003C5180">
        <w:rPr>
          <w:rFonts w:cs="Tahoma"/>
        </w:rPr>
        <w:tab/>
      </w:r>
      <w:r>
        <w:rPr>
          <w:rFonts w:cs="Tahoma"/>
        </w:rPr>
        <w:t>human Serum Bactericidal Antibody</w:t>
      </w:r>
    </w:p>
    <w:p w14:paraId="6ECA0979" w14:textId="77777777" w:rsidR="004571CC" w:rsidRPr="003C5180" w:rsidRDefault="004571CC" w:rsidP="00610A21">
      <w:pPr>
        <w:pStyle w:val="Listofabbreviations"/>
        <w:rPr>
          <w:rFonts w:cs="Tahoma"/>
        </w:rPr>
      </w:pPr>
      <w:r w:rsidRPr="003C5180">
        <w:rPr>
          <w:rFonts w:cs="Tahoma"/>
        </w:rPr>
        <w:t>ICF</w:t>
      </w:r>
      <w:r w:rsidRPr="003C5180">
        <w:rPr>
          <w:rFonts w:cs="Tahoma"/>
        </w:rPr>
        <w:tab/>
        <w:t>Informed Consent Form</w:t>
      </w:r>
    </w:p>
    <w:p w14:paraId="57DA5DB8" w14:textId="77777777" w:rsidR="004571CC" w:rsidRPr="003C5180" w:rsidRDefault="004571CC" w:rsidP="004500BA">
      <w:pPr>
        <w:pStyle w:val="Listofabbreviations"/>
        <w:rPr>
          <w:rFonts w:cs="Tahoma"/>
        </w:rPr>
      </w:pPr>
      <w:r w:rsidRPr="003C5180">
        <w:rPr>
          <w:rFonts w:cs="Tahoma"/>
        </w:rPr>
        <w:t>IMP</w:t>
      </w:r>
      <w:r w:rsidRPr="003C5180">
        <w:rPr>
          <w:rFonts w:cs="Tahoma"/>
        </w:rPr>
        <w:tab/>
        <w:t>Investigational Medicinal Produ</w:t>
      </w:r>
      <w:r w:rsidR="0015457C">
        <w:rPr>
          <w:rFonts w:cs="Tahoma"/>
        </w:rPr>
        <w:t>ct</w:t>
      </w:r>
    </w:p>
    <w:p w14:paraId="6F4A31EF" w14:textId="77777777" w:rsidR="004571CC" w:rsidRPr="003C5180" w:rsidRDefault="004571CC" w:rsidP="00610A21">
      <w:pPr>
        <w:pStyle w:val="Listofabbreviations"/>
        <w:rPr>
          <w:rFonts w:cs="Tahoma"/>
        </w:rPr>
      </w:pPr>
      <w:r w:rsidRPr="003C5180">
        <w:rPr>
          <w:rFonts w:cs="Tahoma"/>
        </w:rPr>
        <w:t>ISF</w:t>
      </w:r>
      <w:r w:rsidRPr="003C5180">
        <w:rPr>
          <w:rFonts w:cs="Tahoma"/>
        </w:rPr>
        <w:tab/>
        <w:t>Investigator Site File</w:t>
      </w:r>
    </w:p>
    <w:p w14:paraId="0C6A92B7" w14:textId="77777777" w:rsidR="004571CC" w:rsidRPr="003C5180" w:rsidRDefault="004571CC" w:rsidP="00610A21">
      <w:pPr>
        <w:pStyle w:val="Listofabbreviations"/>
        <w:rPr>
          <w:rFonts w:cs="Tahoma"/>
        </w:rPr>
      </w:pPr>
      <w:r w:rsidRPr="003C5180">
        <w:rPr>
          <w:rFonts w:cs="Tahoma"/>
        </w:rPr>
        <w:t>ISRCTN</w:t>
      </w:r>
      <w:r w:rsidRPr="003C5180">
        <w:rPr>
          <w:rFonts w:cs="Tahoma"/>
        </w:rPr>
        <w:tab/>
        <w:t xml:space="preserve">International Standard </w:t>
      </w:r>
      <w:r w:rsidR="003A6F73" w:rsidRPr="003C5180">
        <w:rPr>
          <w:rFonts w:cs="Tahoma"/>
        </w:rPr>
        <w:t>Randomised Controlled</w:t>
      </w:r>
      <w:r w:rsidR="00901789" w:rsidRPr="003C5180">
        <w:rPr>
          <w:rFonts w:cs="Tahoma"/>
        </w:rPr>
        <w:t xml:space="preserve"> Trial Number</w:t>
      </w:r>
    </w:p>
    <w:p w14:paraId="6F8B37BE" w14:textId="77777777" w:rsidR="00674D67" w:rsidRDefault="00674D67" w:rsidP="00610A21">
      <w:pPr>
        <w:pStyle w:val="Listofabbreviations"/>
        <w:rPr>
          <w:rFonts w:cs="Tahoma"/>
        </w:rPr>
      </w:pPr>
      <w:r w:rsidRPr="003C5180">
        <w:rPr>
          <w:rFonts w:cs="Tahoma"/>
        </w:rPr>
        <w:t>ITT</w:t>
      </w:r>
      <w:r w:rsidRPr="003C5180">
        <w:rPr>
          <w:rFonts w:cs="Tahoma"/>
        </w:rPr>
        <w:tab/>
        <w:t>Intention to treat</w:t>
      </w:r>
    </w:p>
    <w:p w14:paraId="4AE655E1" w14:textId="77777777" w:rsidR="00F864E9" w:rsidRPr="003C5180" w:rsidRDefault="00F864E9" w:rsidP="00610A21">
      <w:pPr>
        <w:pStyle w:val="Listofabbreviations"/>
        <w:rPr>
          <w:rFonts w:cs="Tahoma"/>
        </w:rPr>
      </w:pPr>
      <w:r w:rsidRPr="003C5180">
        <w:t>JREO</w:t>
      </w:r>
      <w:r>
        <w:tab/>
      </w:r>
      <w:r w:rsidR="00B51670" w:rsidRPr="00B51670">
        <w:rPr>
          <w:lang w:eastAsia="en-GB"/>
        </w:rPr>
        <w:t>Joint Research and Enterprise Office</w:t>
      </w:r>
    </w:p>
    <w:p w14:paraId="01797B46" w14:textId="77777777" w:rsidR="004571CC" w:rsidRPr="003C5180" w:rsidRDefault="004571CC" w:rsidP="00610A21">
      <w:pPr>
        <w:pStyle w:val="Listofabbreviations"/>
        <w:rPr>
          <w:rFonts w:cs="Tahoma"/>
        </w:rPr>
      </w:pPr>
      <w:r w:rsidRPr="003C5180">
        <w:rPr>
          <w:rFonts w:cs="Tahoma"/>
        </w:rPr>
        <w:t>MHRA</w:t>
      </w:r>
      <w:r w:rsidRPr="003C5180">
        <w:rPr>
          <w:rFonts w:cs="Tahoma"/>
        </w:rPr>
        <w:tab/>
        <w:t>Medicines and Healthcare products Regulatory Agency</w:t>
      </w:r>
    </w:p>
    <w:p w14:paraId="2C7ADA70" w14:textId="77777777" w:rsidR="004571CC" w:rsidRPr="003C5180" w:rsidRDefault="004500BA" w:rsidP="004500BA">
      <w:pPr>
        <w:pStyle w:val="Listofabbreviations"/>
        <w:rPr>
          <w:rFonts w:cs="Tahoma"/>
        </w:rPr>
      </w:pPr>
      <w:r w:rsidRPr="003C5180">
        <w:rPr>
          <w:rFonts w:cs="Tahoma"/>
        </w:rPr>
        <w:t>MoU</w:t>
      </w:r>
      <w:r w:rsidRPr="003C5180">
        <w:rPr>
          <w:rFonts w:cs="Tahoma"/>
        </w:rPr>
        <w:tab/>
        <w:t>Memorandum of Understanding</w:t>
      </w:r>
    </w:p>
    <w:p w14:paraId="001AC266" w14:textId="77777777" w:rsidR="00E946AF" w:rsidRDefault="00E946AF" w:rsidP="00610A21">
      <w:pPr>
        <w:pStyle w:val="Listofabbreviations"/>
        <w:rPr>
          <w:rFonts w:cs="Tahoma"/>
        </w:rPr>
      </w:pPr>
      <w:r>
        <w:rPr>
          <w:rFonts w:cs="Tahoma"/>
        </w:rPr>
        <w:t>NadA</w:t>
      </w:r>
      <w:r>
        <w:rPr>
          <w:rFonts w:cs="Tahoma"/>
        </w:rPr>
        <w:tab/>
        <w:t>Neisserial adhesinA</w:t>
      </w:r>
    </w:p>
    <w:p w14:paraId="1DA07B84" w14:textId="77777777" w:rsidR="007A326C" w:rsidRDefault="007A326C" w:rsidP="00610A21">
      <w:pPr>
        <w:pStyle w:val="Listofabbreviations"/>
        <w:rPr>
          <w:rFonts w:cs="Tahoma"/>
        </w:rPr>
      </w:pPr>
      <w:r w:rsidRPr="003C5180">
        <w:rPr>
          <w:rFonts w:cs="Tahoma"/>
        </w:rPr>
        <w:t>NIMP</w:t>
      </w:r>
      <w:r w:rsidRPr="003C5180">
        <w:rPr>
          <w:rFonts w:cs="Tahoma"/>
        </w:rPr>
        <w:tab/>
        <w:t>Non- Investigational Medicinal Product</w:t>
      </w:r>
    </w:p>
    <w:p w14:paraId="30AF387B" w14:textId="77777777" w:rsidR="00F412C3" w:rsidRPr="003C5180" w:rsidRDefault="00F412C3" w:rsidP="00610A21">
      <w:pPr>
        <w:pStyle w:val="Listofabbreviations"/>
        <w:rPr>
          <w:rFonts w:cs="Tahoma"/>
        </w:rPr>
      </w:pPr>
      <w:r>
        <w:rPr>
          <w:rFonts w:cs="Tahoma"/>
        </w:rPr>
        <w:t xml:space="preserve">PHE </w:t>
      </w:r>
      <w:r>
        <w:rPr>
          <w:rFonts w:cs="Tahoma"/>
        </w:rPr>
        <w:tab/>
      </w:r>
      <w:r>
        <w:t>Public Health England</w:t>
      </w:r>
    </w:p>
    <w:p w14:paraId="4D1695C5" w14:textId="77777777" w:rsidR="004571CC" w:rsidRPr="003C5180" w:rsidRDefault="004571CC" w:rsidP="00610A21">
      <w:pPr>
        <w:pStyle w:val="Listofabbreviations"/>
        <w:rPr>
          <w:rFonts w:cs="Tahoma"/>
        </w:rPr>
      </w:pPr>
      <w:r w:rsidRPr="003C5180">
        <w:rPr>
          <w:rFonts w:cs="Tahoma"/>
        </w:rPr>
        <w:t>PI</w:t>
      </w:r>
      <w:r w:rsidRPr="003C5180">
        <w:rPr>
          <w:rFonts w:cs="Tahoma"/>
        </w:rPr>
        <w:tab/>
        <w:t>Principal Investigator</w:t>
      </w:r>
    </w:p>
    <w:p w14:paraId="767C88E8" w14:textId="77777777" w:rsidR="004571CC" w:rsidRDefault="004571CC" w:rsidP="00610A21">
      <w:pPr>
        <w:pStyle w:val="Listofabbreviations"/>
        <w:rPr>
          <w:rFonts w:cs="Tahoma"/>
        </w:rPr>
      </w:pPr>
      <w:r w:rsidRPr="003C5180">
        <w:rPr>
          <w:rFonts w:cs="Tahoma"/>
        </w:rPr>
        <w:t>PIS</w:t>
      </w:r>
      <w:r w:rsidRPr="003C5180">
        <w:rPr>
          <w:rFonts w:cs="Tahoma"/>
        </w:rPr>
        <w:tab/>
        <w:t>Participant Information Sheet</w:t>
      </w:r>
    </w:p>
    <w:p w14:paraId="229D28D0" w14:textId="77777777" w:rsidR="00A9397D" w:rsidRPr="00B51670" w:rsidRDefault="00A9397D" w:rsidP="00610A21">
      <w:pPr>
        <w:pStyle w:val="Listofabbreviations"/>
        <w:rPr>
          <w:rFonts w:cs="Tahoma"/>
        </w:rPr>
      </w:pPr>
      <w:r w:rsidRPr="003C5180">
        <w:rPr>
          <w:lang w:eastAsia="en-GB"/>
        </w:rPr>
        <w:t>PorA</w:t>
      </w:r>
      <w:r>
        <w:rPr>
          <w:lang w:eastAsia="en-GB"/>
        </w:rPr>
        <w:tab/>
      </w:r>
      <w:r w:rsidR="00B51670" w:rsidRPr="00B51670">
        <w:rPr>
          <w:lang w:eastAsia="en-GB"/>
        </w:rPr>
        <w:t>Porin A</w:t>
      </w:r>
    </w:p>
    <w:p w14:paraId="02338936" w14:textId="77777777" w:rsidR="004571CC" w:rsidRPr="003C5180" w:rsidRDefault="004571CC" w:rsidP="00610A21">
      <w:pPr>
        <w:pStyle w:val="Listofabbreviations"/>
        <w:rPr>
          <w:rFonts w:cs="Tahoma"/>
        </w:rPr>
      </w:pPr>
      <w:r w:rsidRPr="003C5180">
        <w:rPr>
          <w:rFonts w:cs="Tahoma"/>
        </w:rPr>
        <w:t>RCT</w:t>
      </w:r>
      <w:r w:rsidRPr="003C5180">
        <w:rPr>
          <w:rFonts w:cs="Tahoma"/>
        </w:rPr>
        <w:tab/>
        <w:t>Randomised Control Trial</w:t>
      </w:r>
    </w:p>
    <w:p w14:paraId="0E238156" w14:textId="77777777" w:rsidR="004571CC" w:rsidRPr="003C5180" w:rsidRDefault="004571CC" w:rsidP="00610A21">
      <w:pPr>
        <w:pStyle w:val="Listofabbreviations"/>
        <w:rPr>
          <w:rFonts w:cs="Tahoma"/>
        </w:rPr>
      </w:pPr>
      <w:r w:rsidRPr="003C5180">
        <w:rPr>
          <w:rFonts w:cs="Tahoma"/>
        </w:rPr>
        <w:t>REC</w:t>
      </w:r>
      <w:r w:rsidRPr="003C5180">
        <w:rPr>
          <w:rFonts w:cs="Tahoma"/>
        </w:rPr>
        <w:tab/>
        <w:t>Research Ethics Committee</w:t>
      </w:r>
    </w:p>
    <w:p w14:paraId="032573E0" w14:textId="77777777" w:rsidR="004035D5" w:rsidRPr="003C5180" w:rsidRDefault="004035D5" w:rsidP="00610A21">
      <w:pPr>
        <w:pStyle w:val="Listofabbreviations"/>
        <w:rPr>
          <w:rFonts w:cs="Tahoma"/>
        </w:rPr>
      </w:pPr>
      <w:r w:rsidRPr="003C5180">
        <w:rPr>
          <w:rFonts w:cs="Tahoma"/>
        </w:rPr>
        <w:t>RSI</w:t>
      </w:r>
      <w:r w:rsidRPr="003C5180">
        <w:rPr>
          <w:rFonts w:cs="Tahoma"/>
        </w:rPr>
        <w:tab/>
        <w:t>Reference Safety Information</w:t>
      </w:r>
    </w:p>
    <w:p w14:paraId="4EDB0242" w14:textId="77777777" w:rsidR="004571CC" w:rsidRPr="003C5180" w:rsidRDefault="004571CC" w:rsidP="00610A21">
      <w:pPr>
        <w:pStyle w:val="Listofabbreviations"/>
        <w:rPr>
          <w:rFonts w:cs="Tahoma"/>
        </w:rPr>
      </w:pPr>
      <w:r w:rsidRPr="003C5180">
        <w:rPr>
          <w:rFonts w:cs="Tahoma"/>
        </w:rPr>
        <w:t>SAR</w:t>
      </w:r>
      <w:r w:rsidRPr="003C5180">
        <w:rPr>
          <w:rFonts w:cs="Tahoma"/>
        </w:rPr>
        <w:tab/>
        <w:t>Serious Adverse Reaction</w:t>
      </w:r>
    </w:p>
    <w:p w14:paraId="42F28C6C" w14:textId="77777777" w:rsidR="004571CC" w:rsidRPr="003C5180" w:rsidRDefault="004571CC" w:rsidP="00610A21">
      <w:pPr>
        <w:pStyle w:val="Listofabbreviations"/>
        <w:rPr>
          <w:rFonts w:cs="Tahoma"/>
        </w:rPr>
      </w:pPr>
      <w:r w:rsidRPr="003C5180">
        <w:rPr>
          <w:rFonts w:cs="Tahoma"/>
        </w:rPr>
        <w:t>SAE</w:t>
      </w:r>
      <w:r w:rsidRPr="003C5180">
        <w:rPr>
          <w:rFonts w:cs="Tahoma"/>
        </w:rPr>
        <w:tab/>
        <w:t>Serious Adverse Event</w:t>
      </w:r>
    </w:p>
    <w:p w14:paraId="6E01F209" w14:textId="77777777" w:rsidR="004571CC" w:rsidRPr="003C5180" w:rsidRDefault="004571CC" w:rsidP="00610A21">
      <w:pPr>
        <w:pStyle w:val="Listofabbreviations"/>
        <w:rPr>
          <w:rFonts w:cs="Tahoma"/>
        </w:rPr>
      </w:pPr>
      <w:r w:rsidRPr="003C5180">
        <w:rPr>
          <w:rFonts w:cs="Tahoma"/>
        </w:rPr>
        <w:t>SDV</w:t>
      </w:r>
      <w:r w:rsidRPr="003C5180">
        <w:rPr>
          <w:rFonts w:cs="Tahoma"/>
        </w:rPr>
        <w:tab/>
        <w:t>Source Document Verification</w:t>
      </w:r>
    </w:p>
    <w:p w14:paraId="5BAF2533" w14:textId="77777777" w:rsidR="004571CC" w:rsidRPr="003C5180" w:rsidRDefault="004571CC" w:rsidP="00610A21">
      <w:pPr>
        <w:pStyle w:val="Listofabbreviations"/>
        <w:rPr>
          <w:rFonts w:cs="Tahoma"/>
        </w:rPr>
      </w:pPr>
      <w:r w:rsidRPr="003C5180">
        <w:rPr>
          <w:rFonts w:cs="Tahoma"/>
        </w:rPr>
        <w:t>SOP</w:t>
      </w:r>
      <w:r w:rsidRPr="003C5180">
        <w:rPr>
          <w:rFonts w:cs="Tahoma"/>
        </w:rPr>
        <w:tab/>
        <w:t xml:space="preserve">Standard Operating Procedure </w:t>
      </w:r>
    </w:p>
    <w:p w14:paraId="6932FEF3" w14:textId="77777777" w:rsidR="004571CC" w:rsidRPr="003C5180" w:rsidRDefault="004571CC" w:rsidP="00610A21">
      <w:pPr>
        <w:pStyle w:val="Listofabbreviations"/>
        <w:rPr>
          <w:rFonts w:cs="Tahoma"/>
        </w:rPr>
      </w:pPr>
      <w:r w:rsidRPr="003C5180">
        <w:rPr>
          <w:rFonts w:cs="Tahoma"/>
        </w:rPr>
        <w:t>SmPC</w:t>
      </w:r>
      <w:r w:rsidRPr="003C5180">
        <w:rPr>
          <w:rFonts w:cs="Tahoma"/>
        </w:rPr>
        <w:tab/>
        <w:t xml:space="preserve">Summary of Product Characteristics </w:t>
      </w:r>
    </w:p>
    <w:p w14:paraId="646B9FEB" w14:textId="77777777" w:rsidR="004571CC" w:rsidRPr="003C5180" w:rsidRDefault="004571CC" w:rsidP="00610A21">
      <w:pPr>
        <w:pStyle w:val="Listofabbreviations"/>
        <w:rPr>
          <w:rFonts w:cs="Tahoma"/>
        </w:rPr>
      </w:pPr>
      <w:r w:rsidRPr="003C5180">
        <w:rPr>
          <w:rFonts w:cs="Tahoma"/>
        </w:rPr>
        <w:t>SSAR</w:t>
      </w:r>
      <w:r w:rsidRPr="003C5180">
        <w:rPr>
          <w:rFonts w:cs="Tahoma"/>
        </w:rPr>
        <w:tab/>
        <w:t>Suspected Serious Adverse Reaction</w:t>
      </w:r>
    </w:p>
    <w:p w14:paraId="0FE2ECF1" w14:textId="77777777" w:rsidR="004571CC" w:rsidRPr="003C5180" w:rsidRDefault="004571CC" w:rsidP="00610A21">
      <w:pPr>
        <w:pStyle w:val="Listofabbreviations"/>
        <w:rPr>
          <w:rFonts w:cs="Tahoma"/>
        </w:rPr>
      </w:pPr>
      <w:r w:rsidRPr="003C5180">
        <w:rPr>
          <w:rFonts w:cs="Tahoma"/>
        </w:rPr>
        <w:t>SUSAR</w:t>
      </w:r>
      <w:r w:rsidRPr="003C5180">
        <w:rPr>
          <w:rFonts w:cs="Tahoma"/>
        </w:rPr>
        <w:tab/>
        <w:t xml:space="preserve">Suspected Unexpected Serious Adverse Reaction </w:t>
      </w:r>
    </w:p>
    <w:p w14:paraId="0FA8829D" w14:textId="77777777" w:rsidR="00674D67" w:rsidRPr="003C5180" w:rsidRDefault="00674D67" w:rsidP="00610A21">
      <w:pPr>
        <w:pStyle w:val="Listofabbreviations"/>
        <w:rPr>
          <w:rFonts w:cs="Tahoma"/>
        </w:rPr>
      </w:pPr>
      <w:r w:rsidRPr="003C5180">
        <w:rPr>
          <w:rFonts w:cs="Tahoma"/>
        </w:rPr>
        <w:t>TMF</w:t>
      </w:r>
      <w:r w:rsidRPr="003C5180">
        <w:rPr>
          <w:rFonts w:cs="Tahoma"/>
        </w:rPr>
        <w:tab/>
        <w:t>Trial Master File</w:t>
      </w:r>
    </w:p>
    <w:p w14:paraId="4EA78931" w14:textId="77777777" w:rsidR="004571CC" w:rsidRDefault="004571CC" w:rsidP="00610A21">
      <w:pPr>
        <w:pStyle w:val="Listofabbreviations"/>
        <w:rPr>
          <w:rFonts w:cs="Tahoma"/>
        </w:rPr>
      </w:pPr>
      <w:r w:rsidRPr="003C5180">
        <w:rPr>
          <w:rFonts w:cs="Tahoma"/>
        </w:rPr>
        <w:t>TMG</w:t>
      </w:r>
      <w:r w:rsidRPr="003C5180">
        <w:rPr>
          <w:rFonts w:cs="Tahoma"/>
        </w:rPr>
        <w:tab/>
        <w:t>Trial Management Group</w:t>
      </w:r>
    </w:p>
    <w:p w14:paraId="0C46F392" w14:textId="77777777" w:rsidR="004571CC" w:rsidRPr="003C5180" w:rsidRDefault="004571CC" w:rsidP="00C84699">
      <w:pPr>
        <w:spacing w:after="0" w:line="240" w:lineRule="auto"/>
        <w:rPr>
          <w:rFonts w:cs="Tahoma"/>
          <w:sz w:val="22"/>
          <w:szCs w:val="22"/>
        </w:rPr>
      </w:pPr>
    </w:p>
    <w:p w14:paraId="18FAE88E" w14:textId="77777777" w:rsidR="00E05452" w:rsidRDefault="00E05452">
      <w:pPr>
        <w:spacing w:after="0" w:line="240" w:lineRule="auto"/>
        <w:ind w:firstLine="360"/>
        <w:rPr>
          <w:rFonts w:cs="Tahoma"/>
          <w:sz w:val="22"/>
          <w:szCs w:val="22"/>
        </w:rPr>
      </w:pPr>
    </w:p>
    <w:p w14:paraId="6CB8521F" w14:textId="77777777" w:rsidR="00F4514D" w:rsidRDefault="00F4514D">
      <w:pPr>
        <w:spacing w:after="0" w:line="240" w:lineRule="auto"/>
        <w:ind w:firstLine="360"/>
        <w:rPr>
          <w:rFonts w:cs="Tahoma"/>
          <w:sz w:val="22"/>
          <w:szCs w:val="22"/>
        </w:rPr>
      </w:pPr>
    </w:p>
    <w:p w14:paraId="7633547D" w14:textId="77777777" w:rsidR="00F4514D" w:rsidRDefault="00F4514D">
      <w:pPr>
        <w:spacing w:after="0" w:line="240" w:lineRule="auto"/>
        <w:ind w:firstLine="360"/>
        <w:rPr>
          <w:rFonts w:cs="Tahoma"/>
          <w:sz w:val="22"/>
          <w:szCs w:val="22"/>
        </w:rPr>
      </w:pPr>
    </w:p>
    <w:p w14:paraId="2A3D2889" w14:textId="77777777" w:rsidR="00F4514D" w:rsidRDefault="00F4514D">
      <w:pPr>
        <w:spacing w:after="0" w:line="240" w:lineRule="auto"/>
        <w:ind w:firstLine="360"/>
        <w:rPr>
          <w:rFonts w:cs="Tahoma"/>
          <w:sz w:val="22"/>
          <w:szCs w:val="22"/>
        </w:rPr>
      </w:pPr>
    </w:p>
    <w:p w14:paraId="0748E39E" w14:textId="77777777" w:rsidR="00F4514D" w:rsidRDefault="00F4514D">
      <w:pPr>
        <w:spacing w:after="0" w:line="240" w:lineRule="auto"/>
        <w:ind w:firstLine="360"/>
        <w:rPr>
          <w:rFonts w:cs="Tahoma"/>
          <w:sz w:val="22"/>
          <w:szCs w:val="22"/>
        </w:rPr>
      </w:pPr>
    </w:p>
    <w:p w14:paraId="1250E1B1" w14:textId="77777777" w:rsidR="00F4514D" w:rsidRDefault="00F4514D">
      <w:pPr>
        <w:spacing w:after="0" w:line="240" w:lineRule="auto"/>
        <w:ind w:firstLine="360"/>
        <w:rPr>
          <w:rFonts w:cs="Tahoma"/>
          <w:sz w:val="22"/>
          <w:szCs w:val="22"/>
        </w:rPr>
      </w:pPr>
    </w:p>
    <w:p w14:paraId="43EF0D1B" w14:textId="77777777" w:rsidR="00F4514D" w:rsidRDefault="00F4514D">
      <w:pPr>
        <w:spacing w:after="0" w:line="240" w:lineRule="auto"/>
        <w:ind w:firstLine="360"/>
        <w:rPr>
          <w:rFonts w:cs="Tahoma"/>
          <w:sz w:val="22"/>
          <w:szCs w:val="22"/>
        </w:rPr>
      </w:pPr>
    </w:p>
    <w:p w14:paraId="44D69B6D" w14:textId="77777777" w:rsidR="00F4514D" w:rsidRDefault="00F4514D">
      <w:pPr>
        <w:spacing w:after="0" w:line="240" w:lineRule="auto"/>
        <w:ind w:firstLine="360"/>
        <w:rPr>
          <w:rFonts w:cs="Tahoma"/>
          <w:sz w:val="22"/>
          <w:szCs w:val="22"/>
        </w:rPr>
      </w:pPr>
    </w:p>
    <w:p w14:paraId="78157D89" w14:textId="77777777" w:rsidR="00F4514D" w:rsidRDefault="00F4514D">
      <w:pPr>
        <w:spacing w:after="0" w:line="240" w:lineRule="auto"/>
        <w:ind w:firstLine="360"/>
        <w:rPr>
          <w:rFonts w:cs="Tahoma"/>
          <w:sz w:val="22"/>
          <w:szCs w:val="22"/>
        </w:rPr>
      </w:pPr>
    </w:p>
    <w:p w14:paraId="6B7DE1E9" w14:textId="77777777" w:rsidR="00F4514D" w:rsidRDefault="00F4514D">
      <w:pPr>
        <w:spacing w:after="0" w:line="240" w:lineRule="auto"/>
        <w:ind w:firstLine="360"/>
        <w:rPr>
          <w:rFonts w:cs="Tahoma"/>
          <w:sz w:val="22"/>
          <w:szCs w:val="22"/>
        </w:rPr>
      </w:pPr>
    </w:p>
    <w:p w14:paraId="57508C46" w14:textId="77777777" w:rsidR="00F4514D" w:rsidRDefault="00F4514D">
      <w:pPr>
        <w:spacing w:after="0" w:line="240" w:lineRule="auto"/>
        <w:ind w:firstLine="360"/>
        <w:rPr>
          <w:rFonts w:cs="Tahoma"/>
          <w:sz w:val="22"/>
          <w:szCs w:val="22"/>
        </w:rPr>
      </w:pPr>
    </w:p>
    <w:p w14:paraId="4822312C" w14:textId="77777777" w:rsidR="00F4514D" w:rsidRDefault="00F4514D">
      <w:pPr>
        <w:spacing w:after="0" w:line="240" w:lineRule="auto"/>
        <w:ind w:firstLine="360"/>
        <w:rPr>
          <w:rFonts w:cs="Tahoma"/>
          <w:sz w:val="22"/>
          <w:szCs w:val="22"/>
        </w:rPr>
      </w:pPr>
    </w:p>
    <w:p w14:paraId="62C5335C" w14:textId="77777777" w:rsidR="00F4514D" w:rsidRDefault="00F4514D">
      <w:pPr>
        <w:spacing w:after="0" w:line="240" w:lineRule="auto"/>
        <w:ind w:firstLine="360"/>
        <w:rPr>
          <w:rFonts w:cs="Tahoma"/>
          <w:sz w:val="22"/>
          <w:szCs w:val="22"/>
        </w:rPr>
      </w:pPr>
    </w:p>
    <w:p w14:paraId="42502A1C" w14:textId="77777777" w:rsidR="00F4514D" w:rsidRDefault="00F4514D">
      <w:pPr>
        <w:spacing w:after="0" w:line="240" w:lineRule="auto"/>
        <w:ind w:firstLine="360"/>
        <w:rPr>
          <w:rFonts w:cs="Tahoma"/>
          <w:sz w:val="22"/>
          <w:szCs w:val="22"/>
        </w:rPr>
      </w:pPr>
    </w:p>
    <w:p w14:paraId="186C5E46" w14:textId="77777777" w:rsidR="00F4514D" w:rsidRDefault="00F4514D">
      <w:pPr>
        <w:spacing w:after="0" w:line="240" w:lineRule="auto"/>
        <w:ind w:firstLine="360"/>
        <w:rPr>
          <w:rFonts w:cs="Tahoma"/>
          <w:sz w:val="22"/>
          <w:szCs w:val="22"/>
        </w:rPr>
      </w:pPr>
    </w:p>
    <w:p w14:paraId="10695EB4" w14:textId="77777777" w:rsidR="00F4514D" w:rsidRDefault="00F4514D">
      <w:pPr>
        <w:spacing w:after="0" w:line="240" w:lineRule="auto"/>
        <w:ind w:firstLine="360"/>
        <w:rPr>
          <w:rFonts w:cs="Tahoma"/>
          <w:sz w:val="22"/>
          <w:szCs w:val="22"/>
        </w:rPr>
      </w:pPr>
    </w:p>
    <w:p w14:paraId="3562C681" w14:textId="77777777" w:rsidR="00F4514D" w:rsidRDefault="00F4514D">
      <w:pPr>
        <w:spacing w:after="0" w:line="240" w:lineRule="auto"/>
        <w:ind w:firstLine="360"/>
        <w:rPr>
          <w:rFonts w:cs="Tahoma"/>
          <w:sz w:val="22"/>
          <w:szCs w:val="22"/>
        </w:rPr>
      </w:pPr>
    </w:p>
    <w:p w14:paraId="296615A9" w14:textId="77777777" w:rsidR="00F4514D" w:rsidRDefault="00F4514D">
      <w:pPr>
        <w:spacing w:after="0" w:line="240" w:lineRule="auto"/>
        <w:ind w:firstLine="360"/>
        <w:rPr>
          <w:rFonts w:cs="Tahoma"/>
          <w:sz w:val="22"/>
          <w:szCs w:val="22"/>
        </w:rPr>
      </w:pPr>
    </w:p>
    <w:p w14:paraId="4C59C338" w14:textId="77777777" w:rsidR="00F4514D" w:rsidRDefault="00F4514D">
      <w:pPr>
        <w:spacing w:after="0" w:line="240" w:lineRule="auto"/>
        <w:ind w:firstLine="360"/>
        <w:rPr>
          <w:rFonts w:cs="Tahoma"/>
          <w:sz w:val="22"/>
          <w:szCs w:val="22"/>
        </w:rPr>
      </w:pPr>
    </w:p>
    <w:p w14:paraId="2AA3187B" w14:textId="77777777" w:rsidR="00F4514D" w:rsidRDefault="00F4514D">
      <w:pPr>
        <w:spacing w:after="0" w:line="240" w:lineRule="auto"/>
        <w:ind w:firstLine="360"/>
        <w:rPr>
          <w:rFonts w:cs="Tahoma"/>
          <w:sz w:val="22"/>
          <w:szCs w:val="22"/>
        </w:rPr>
      </w:pPr>
    </w:p>
    <w:p w14:paraId="4DEEF80E" w14:textId="77777777" w:rsidR="00F4514D" w:rsidRDefault="00F4514D">
      <w:pPr>
        <w:spacing w:after="0" w:line="240" w:lineRule="auto"/>
        <w:ind w:firstLine="360"/>
        <w:rPr>
          <w:rFonts w:cs="Tahoma"/>
          <w:sz w:val="22"/>
          <w:szCs w:val="22"/>
        </w:rPr>
      </w:pPr>
    </w:p>
    <w:p w14:paraId="63AF14F7" w14:textId="77777777" w:rsidR="00F4514D" w:rsidRDefault="00F4514D">
      <w:pPr>
        <w:spacing w:after="0" w:line="240" w:lineRule="auto"/>
        <w:ind w:firstLine="360"/>
        <w:rPr>
          <w:rFonts w:cs="Tahoma"/>
          <w:sz w:val="22"/>
          <w:szCs w:val="22"/>
        </w:rPr>
      </w:pPr>
    </w:p>
    <w:p w14:paraId="4EC42670" w14:textId="77777777" w:rsidR="00F4514D" w:rsidRDefault="00F4514D">
      <w:pPr>
        <w:spacing w:after="0" w:line="240" w:lineRule="auto"/>
        <w:ind w:firstLine="360"/>
        <w:rPr>
          <w:rFonts w:cs="Tahoma"/>
          <w:sz w:val="22"/>
          <w:szCs w:val="22"/>
        </w:rPr>
      </w:pPr>
    </w:p>
    <w:p w14:paraId="5603874E" w14:textId="77777777" w:rsidR="00F4514D" w:rsidRDefault="00F4514D">
      <w:pPr>
        <w:spacing w:after="0" w:line="240" w:lineRule="auto"/>
        <w:ind w:firstLine="360"/>
        <w:rPr>
          <w:rFonts w:cs="Tahoma"/>
          <w:sz w:val="22"/>
          <w:szCs w:val="22"/>
        </w:rPr>
      </w:pPr>
    </w:p>
    <w:p w14:paraId="606A9566" w14:textId="77777777" w:rsidR="00F4514D" w:rsidRDefault="00F4514D">
      <w:pPr>
        <w:spacing w:after="0" w:line="240" w:lineRule="auto"/>
        <w:ind w:firstLine="360"/>
        <w:rPr>
          <w:rFonts w:cs="Tahoma"/>
          <w:sz w:val="22"/>
          <w:szCs w:val="22"/>
        </w:rPr>
      </w:pPr>
    </w:p>
    <w:p w14:paraId="73F250A1" w14:textId="77777777" w:rsidR="00F4514D" w:rsidRDefault="00F4514D">
      <w:pPr>
        <w:spacing w:after="0" w:line="240" w:lineRule="auto"/>
        <w:ind w:firstLine="360"/>
        <w:rPr>
          <w:rFonts w:cs="Tahoma"/>
          <w:sz w:val="22"/>
          <w:szCs w:val="22"/>
        </w:rPr>
      </w:pPr>
    </w:p>
    <w:p w14:paraId="320C23E1" w14:textId="77777777" w:rsidR="00F4514D" w:rsidRDefault="00F4514D">
      <w:pPr>
        <w:spacing w:after="0" w:line="240" w:lineRule="auto"/>
        <w:ind w:firstLine="360"/>
        <w:rPr>
          <w:rFonts w:cs="Tahoma"/>
          <w:sz w:val="22"/>
          <w:szCs w:val="22"/>
        </w:rPr>
      </w:pPr>
    </w:p>
    <w:p w14:paraId="16C93E17" w14:textId="77777777" w:rsidR="00F4514D" w:rsidRDefault="00F4514D">
      <w:pPr>
        <w:spacing w:after="0" w:line="240" w:lineRule="auto"/>
        <w:ind w:firstLine="360"/>
        <w:rPr>
          <w:rFonts w:cs="Tahoma"/>
          <w:sz w:val="22"/>
          <w:szCs w:val="22"/>
        </w:rPr>
      </w:pPr>
    </w:p>
    <w:p w14:paraId="415FB98B" w14:textId="77777777" w:rsidR="00F4514D" w:rsidRDefault="00F4514D">
      <w:pPr>
        <w:spacing w:after="0" w:line="240" w:lineRule="auto"/>
        <w:ind w:firstLine="360"/>
        <w:rPr>
          <w:rFonts w:cs="Tahoma"/>
          <w:sz w:val="22"/>
          <w:szCs w:val="22"/>
        </w:rPr>
      </w:pPr>
    </w:p>
    <w:p w14:paraId="105DE463" w14:textId="77777777" w:rsidR="00F4514D" w:rsidRDefault="00F4514D">
      <w:pPr>
        <w:spacing w:after="0" w:line="240" w:lineRule="auto"/>
        <w:ind w:firstLine="360"/>
        <w:rPr>
          <w:rFonts w:cs="Tahoma"/>
          <w:sz w:val="22"/>
          <w:szCs w:val="22"/>
        </w:rPr>
      </w:pPr>
    </w:p>
    <w:p w14:paraId="7D0F6A1A" w14:textId="77777777" w:rsidR="00F4514D" w:rsidRDefault="00F4514D">
      <w:pPr>
        <w:spacing w:after="0" w:line="240" w:lineRule="auto"/>
        <w:ind w:firstLine="360"/>
        <w:rPr>
          <w:rFonts w:cs="Tahoma"/>
          <w:sz w:val="22"/>
          <w:szCs w:val="22"/>
        </w:rPr>
      </w:pPr>
    </w:p>
    <w:p w14:paraId="536653DE" w14:textId="77777777" w:rsidR="00F4514D" w:rsidRDefault="00F4514D">
      <w:pPr>
        <w:spacing w:after="0" w:line="240" w:lineRule="auto"/>
        <w:ind w:firstLine="360"/>
        <w:rPr>
          <w:rFonts w:cs="Tahoma"/>
          <w:sz w:val="22"/>
          <w:szCs w:val="22"/>
        </w:rPr>
      </w:pPr>
    </w:p>
    <w:p w14:paraId="17AC3F32" w14:textId="77777777" w:rsidR="00F4514D" w:rsidRDefault="00F4514D">
      <w:pPr>
        <w:spacing w:after="0" w:line="240" w:lineRule="auto"/>
        <w:ind w:firstLine="360"/>
        <w:rPr>
          <w:rFonts w:cs="Tahoma"/>
          <w:sz w:val="22"/>
          <w:szCs w:val="22"/>
        </w:rPr>
      </w:pPr>
    </w:p>
    <w:p w14:paraId="460128F2" w14:textId="77777777" w:rsidR="00F4514D" w:rsidRDefault="00F4514D">
      <w:pPr>
        <w:spacing w:after="0" w:line="240" w:lineRule="auto"/>
        <w:ind w:firstLine="360"/>
        <w:rPr>
          <w:rFonts w:cs="Tahoma"/>
          <w:sz w:val="22"/>
          <w:szCs w:val="22"/>
        </w:rPr>
      </w:pPr>
    </w:p>
    <w:p w14:paraId="358CA634" w14:textId="77777777" w:rsidR="00F4514D" w:rsidRDefault="00F4514D">
      <w:pPr>
        <w:spacing w:after="0" w:line="240" w:lineRule="auto"/>
        <w:ind w:firstLine="360"/>
        <w:rPr>
          <w:rFonts w:cs="Tahoma"/>
          <w:sz w:val="22"/>
          <w:szCs w:val="22"/>
        </w:rPr>
      </w:pPr>
    </w:p>
    <w:p w14:paraId="6FD0EE02" w14:textId="77777777" w:rsidR="00F4514D" w:rsidRDefault="00F4514D">
      <w:pPr>
        <w:spacing w:after="0" w:line="240" w:lineRule="auto"/>
        <w:ind w:firstLine="360"/>
        <w:rPr>
          <w:rFonts w:cs="Tahoma"/>
          <w:sz w:val="22"/>
          <w:szCs w:val="22"/>
        </w:rPr>
      </w:pPr>
    </w:p>
    <w:p w14:paraId="3D47A9C1" w14:textId="77777777" w:rsidR="00F4514D" w:rsidRDefault="00F4514D">
      <w:pPr>
        <w:spacing w:after="0" w:line="240" w:lineRule="auto"/>
        <w:ind w:firstLine="360"/>
        <w:rPr>
          <w:rFonts w:cs="Tahoma"/>
          <w:sz w:val="22"/>
          <w:szCs w:val="22"/>
        </w:rPr>
      </w:pPr>
    </w:p>
    <w:p w14:paraId="014821AA" w14:textId="77777777" w:rsidR="00F4514D" w:rsidRDefault="00F4514D">
      <w:pPr>
        <w:spacing w:after="0" w:line="240" w:lineRule="auto"/>
        <w:ind w:firstLine="360"/>
        <w:rPr>
          <w:rFonts w:cs="Tahoma"/>
          <w:sz w:val="22"/>
          <w:szCs w:val="22"/>
        </w:rPr>
      </w:pPr>
    </w:p>
    <w:p w14:paraId="47403459" w14:textId="77777777" w:rsidR="00F4514D" w:rsidRDefault="00F4514D">
      <w:pPr>
        <w:spacing w:after="0" w:line="240" w:lineRule="auto"/>
        <w:ind w:firstLine="360"/>
        <w:rPr>
          <w:rFonts w:cs="Tahoma"/>
          <w:sz w:val="22"/>
          <w:szCs w:val="22"/>
        </w:rPr>
      </w:pPr>
    </w:p>
    <w:p w14:paraId="05252004" w14:textId="77777777" w:rsidR="00F4514D" w:rsidRDefault="00F4514D">
      <w:pPr>
        <w:spacing w:after="0" w:line="240" w:lineRule="auto"/>
        <w:ind w:firstLine="360"/>
        <w:rPr>
          <w:rFonts w:cs="Tahoma"/>
          <w:sz w:val="22"/>
          <w:szCs w:val="22"/>
        </w:rPr>
      </w:pPr>
    </w:p>
    <w:p w14:paraId="7C49E4AF" w14:textId="77777777" w:rsidR="00F4514D" w:rsidRDefault="00F4514D">
      <w:pPr>
        <w:spacing w:after="0" w:line="240" w:lineRule="auto"/>
        <w:ind w:firstLine="360"/>
        <w:rPr>
          <w:rFonts w:cs="Tahoma"/>
          <w:sz w:val="22"/>
          <w:szCs w:val="22"/>
        </w:rPr>
      </w:pPr>
    </w:p>
    <w:p w14:paraId="39D7065C" w14:textId="77777777" w:rsidR="00F4514D" w:rsidRDefault="00F4514D">
      <w:pPr>
        <w:spacing w:after="0" w:line="240" w:lineRule="auto"/>
        <w:ind w:firstLine="360"/>
        <w:rPr>
          <w:rFonts w:cs="Tahoma"/>
          <w:sz w:val="22"/>
          <w:szCs w:val="22"/>
        </w:rPr>
      </w:pPr>
    </w:p>
    <w:p w14:paraId="091BC9C6" w14:textId="77777777" w:rsidR="00F4514D" w:rsidRPr="003C5180" w:rsidRDefault="00F4514D">
      <w:pPr>
        <w:spacing w:after="0" w:line="240" w:lineRule="auto"/>
        <w:ind w:firstLine="360"/>
        <w:rPr>
          <w:rFonts w:cs="Tahoma"/>
          <w:sz w:val="22"/>
          <w:szCs w:val="22"/>
        </w:rPr>
      </w:pPr>
    </w:p>
    <w:p w14:paraId="0A1855F3" w14:textId="77777777" w:rsidR="00E05452" w:rsidRPr="003C5180" w:rsidRDefault="00E05452">
      <w:pPr>
        <w:spacing w:after="0" w:line="240" w:lineRule="auto"/>
        <w:ind w:firstLine="360"/>
        <w:rPr>
          <w:rFonts w:cs="Tahoma"/>
          <w:sz w:val="22"/>
          <w:szCs w:val="22"/>
        </w:rPr>
      </w:pPr>
    </w:p>
    <w:p w14:paraId="62A5F469" w14:textId="77777777" w:rsidR="00E05452" w:rsidRPr="003C5180" w:rsidRDefault="00E05452">
      <w:pPr>
        <w:spacing w:after="0" w:line="240" w:lineRule="auto"/>
        <w:ind w:firstLine="360"/>
        <w:rPr>
          <w:rFonts w:cs="Tahoma"/>
          <w:sz w:val="22"/>
          <w:szCs w:val="22"/>
        </w:rPr>
      </w:pPr>
    </w:p>
    <w:p w14:paraId="139E55A3" w14:textId="77777777" w:rsidR="004571CC" w:rsidRPr="003C5180" w:rsidRDefault="00674D67" w:rsidP="008002BF">
      <w:pPr>
        <w:numPr>
          <w:ilvl w:val="0"/>
          <w:numId w:val="20"/>
        </w:numPr>
        <w:spacing w:after="0" w:line="240" w:lineRule="auto"/>
        <w:rPr>
          <w:rFonts w:cs="Tahoma"/>
          <w:b/>
          <w:sz w:val="28"/>
          <w:szCs w:val="28"/>
        </w:rPr>
      </w:pPr>
      <w:r w:rsidRPr="003C5180">
        <w:rPr>
          <w:b/>
          <w:sz w:val="28"/>
          <w:szCs w:val="28"/>
        </w:rPr>
        <w:t>Roles and Responsibilities</w:t>
      </w:r>
      <w:r w:rsidR="00371C42" w:rsidRPr="003C5180">
        <w:rPr>
          <w:b/>
          <w:sz w:val="28"/>
          <w:szCs w:val="28"/>
        </w:rPr>
        <w:t>:</w:t>
      </w:r>
      <w:r w:rsidR="00924817" w:rsidRPr="003C5180">
        <w:rPr>
          <w:b/>
          <w:i/>
          <w:color w:val="FF0000"/>
          <w:sz w:val="28"/>
          <w:szCs w:val="28"/>
        </w:rPr>
        <w:t xml:space="preserve"> </w:t>
      </w:r>
    </w:p>
    <w:p w14:paraId="3C47FA7F" w14:textId="77777777" w:rsidR="008002BF" w:rsidRPr="003C5180" w:rsidRDefault="008002BF" w:rsidP="008002BF">
      <w:pPr>
        <w:spacing w:after="0" w:line="240" w:lineRule="auto"/>
        <w:ind w:left="720"/>
        <w:rPr>
          <w:rFonts w:cs="Tahoma"/>
          <w:sz w:val="22"/>
          <w:szCs w:val="22"/>
        </w:rPr>
      </w:pPr>
    </w:p>
    <w:p w14:paraId="3061C164" w14:textId="77777777" w:rsidR="00B002BF" w:rsidRPr="003C5180" w:rsidRDefault="003D3796" w:rsidP="00B002BF">
      <w:pPr>
        <w:pStyle w:val="Listofabbreviations"/>
        <w:rPr>
          <w:sz w:val="23"/>
          <w:szCs w:val="24"/>
          <w:lang w:eastAsia="en-GB"/>
        </w:rPr>
      </w:pPr>
      <w:r>
        <w:rPr>
          <w:rFonts w:cs="Tahoma"/>
          <w:b/>
        </w:rPr>
        <w:t>Ch</w:t>
      </w:r>
      <w:r w:rsidR="00050807">
        <w:rPr>
          <w:rFonts w:cs="Tahoma"/>
          <w:b/>
        </w:rPr>
        <w:t>ie</w:t>
      </w:r>
      <w:r>
        <w:rPr>
          <w:rFonts w:cs="Tahoma"/>
          <w:b/>
        </w:rPr>
        <w:t>f</w:t>
      </w:r>
      <w:r w:rsidRPr="003C5180">
        <w:rPr>
          <w:rFonts w:cs="Tahoma"/>
          <w:b/>
        </w:rPr>
        <w:t xml:space="preserve"> </w:t>
      </w:r>
      <w:r w:rsidR="00B002BF" w:rsidRPr="003C5180">
        <w:rPr>
          <w:rFonts w:cs="Tahoma"/>
          <w:b/>
        </w:rPr>
        <w:t>Investigator (</w:t>
      </w:r>
      <w:r>
        <w:rPr>
          <w:rFonts w:cs="Tahoma"/>
          <w:b/>
        </w:rPr>
        <w:t>C</w:t>
      </w:r>
      <w:r w:rsidR="00B002BF" w:rsidRPr="003C5180">
        <w:rPr>
          <w:rFonts w:cs="Tahoma"/>
          <w:b/>
        </w:rPr>
        <w:t>I):</w:t>
      </w:r>
      <w:r w:rsidR="005D0185" w:rsidRPr="003C5180">
        <w:rPr>
          <w:rFonts w:cs="Tahoma"/>
          <w:b/>
        </w:rPr>
        <w:t xml:space="preserve">       </w:t>
      </w:r>
      <w:r w:rsidR="00B002BF" w:rsidRPr="003C5180">
        <w:rPr>
          <w:rFonts w:cs="Tahoma"/>
          <w:b/>
        </w:rPr>
        <w:t xml:space="preserve"> </w:t>
      </w:r>
      <w:r w:rsidR="0015457C">
        <w:rPr>
          <w:rFonts w:cs="Tahoma"/>
          <w:b/>
        </w:rPr>
        <w:tab/>
      </w:r>
      <w:r w:rsidR="00D97952" w:rsidRPr="003C5180">
        <w:rPr>
          <w:sz w:val="23"/>
          <w:szCs w:val="24"/>
          <w:lang w:eastAsia="en-GB"/>
        </w:rPr>
        <w:t>Professor Paul Heath</w:t>
      </w:r>
    </w:p>
    <w:p w14:paraId="3144D858" w14:textId="77777777" w:rsidR="00D97952" w:rsidRPr="003C5180" w:rsidRDefault="00D97952" w:rsidP="00B002BF">
      <w:pPr>
        <w:pStyle w:val="Listofabbreviations"/>
        <w:rPr>
          <w:sz w:val="23"/>
          <w:szCs w:val="24"/>
          <w:lang w:eastAsia="en-GB"/>
        </w:rPr>
      </w:pPr>
      <w:r w:rsidRPr="003C5180">
        <w:rPr>
          <w:sz w:val="23"/>
          <w:szCs w:val="24"/>
          <w:lang w:eastAsia="en-GB"/>
        </w:rPr>
        <w:tab/>
        <w:t>Paediatric Infectious Diseases Research Group</w:t>
      </w:r>
    </w:p>
    <w:p w14:paraId="392C7898" w14:textId="77777777" w:rsidR="00D97952" w:rsidRPr="003C5180" w:rsidRDefault="00D97952" w:rsidP="00B002BF">
      <w:pPr>
        <w:pStyle w:val="Listofabbreviations"/>
        <w:rPr>
          <w:sz w:val="23"/>
          <w:szCs w:val="24"/>
          <w:lang w:eastAsia="en-GB"/>
        </w:rPr>
      </w:pPr>
      <w:r w:rsidRPr="003C5180">
        <w:rPr>
          <w:sz w:val="23"/>
          <w:szCs w:val="24"/>
          <w:lang w:eastAsia="en-GB"/>
        </w:rPr>
        <w:tab/>
        <w:t>St George</w:t>
      </w:r>
      <w:r w:rsidR="008837D8" w:rsidRPr="003C5180">
        <w:rPr>
          <w:sz w:val="23"/>
          <w:szCs w:val="24"/>
          <w:lang w:eastAsia="en-GB"/>
        </w:rPr>
        <w:t xml:space="preserve">’s, University </w:t>
      </w:r>
      <w:r w:rsidRPr="003C5180">
        <w:rPr>
          <w:sz w:val="23"/>
          <w:szCs w:val="24"/>
          <w:lang w:eastAsia="en-GB"/>
        </w:rPr>
        <w:t>of London</w:t>
      </w:r>
    </w:p>
    <w:p w14:paraId="7E386AD9" w14:textId="77B956E2" w:rsidR="00D97952" w:rsidRPr="003C5180" w:rsidRDefault="00D97952" w:rsidP="00EB48D5">
      <w:pPr>
        <w:pStyle w:val="Listofabbreviations"/>
        <w:rPr>
          <w:sz w:val="23"/>
          <w:szCs w:val="24"/>
          <w:lang w:eastAsia="en-GB"/>
        </w:rPr>
      </w:pPr>
      <w:r w:rsidRPr="003C5180">
        <w:rPr>
          <w:rFonts w:cs="Tahoma"/>
          <w:b/>
        </w:rPr>
        <w:tab/>
      </w:r>
      <w:r w:rsidRPr="003C5180">
        <w:rPr>
          <w:sz w:val="23"/>
          <w:szCs w:val="24"/>
          <w:lang w:eastAsia="en-GB"/>
        </w:rPr>
        <w:t>Cranmer Terrace</w:t>
      </w:r>
      <w:r w:rsidR="00712212">
        <w:rPr>
          <w:sz w:val="23"/>
          <w:szCs w:val="24"/>
          <w:lang w:eastAsia="en-GB"/>
        </w:rPr>
        <w:t xml:space="preserve">, </w:t>
      </w:r>
      <w:r w:rsidRPr="003C5180">
        <w:rPr>
          <w:sz w:val="23"/>
          <w:szCs w:val="24"/>
          <w:lang w:eastAsia="en-GB"/>
        </w:rPr>
        <w:t>Tooting</w:t>
      </w:r>
      <w:r w:rsidR="00EB48D5">
        <w:rPr>
          <w:sz w:val="23"/>
          <w:szCs w:val="24"/>
          <w:lang w:eastAsia="en-GB"/>
        </w:rPr>
        <w:t xml:space="preserve">, </w:t>
      </w:r>
      <w:r w:rsidRPr="003C5180">
        <w:rPr>
          <w:sz w:val="23"/>
          <w:szCs w:val="24"/>
          <w:lang w:eastAsia="en-GB"/>
        </w:rPr>
        <w:t>SW17</w:t>
      </w:r>
      <w:r w:rsidR="00712212">
        <w:rPr>
          <w:sz w:val="23"/>
          <w:szCs w:val="24"/>
          <w:lang w:eastAsia="en-GB"/>
        </w:rPr>
        <w:t xml:space="preserve"> </w:t>
      </w:r>
      <w:r w:rsidRPr="003C5180">
        <w:rPr>
          <w:sz w:val="23"/>
          <w:szCs w:val="24"/>
          <w:lang w:eastAsia="en-GB"/>
        </w:rPr>
        <w:t>0RE</w:t>
      </w:r>
    </w:p>
    <w:p w14:paraId="5567F3DA" w14:textId="77777777" w:rsidR="00D97952" w:rsidRPr="003C5180" w:rsidRDefault="00D97952" w:rsidP="00D97952">
      <w:pPr>
        <w:pStyle w:val="Listofabbreviations"/>
        <w:rPr>
          <w:sz w:val="23"/>
          <w:szCs w:val="24"/>
          <w:lang w:eastAsia="en-GB"/>
        </w:rPr>
      </w:pPr>
      <w:r w:rsidRPr="003C5180">
        <w:rPr>
          <w:sz w:val="23"/>
          <w:szCs w:val="24"/>
          <w:lang w:eastAsia="en-GB"/>
        </w:rPr>
        <w:tab/>
        <w:t>E-mail:  pheath@sgul.ac.uk</w:t>
      </w:r>
      <w:r w:rsidRPr="003C5180">
        <w:rPr>
          <w:sz w:val="23"/>
          <w:szCs w:val="24"/>
          <w:lang w:eastAsia="en-GB"/>
        </w:rPr>
        <w:br/>
        <w:t>Phone:  02087255980</w:t>
      </w:r>
    </w:p>
    <w:p w14:paraId="1002D721" w14:textId="77777777" w:rsidR="005D0383" w:rsidRPr="003C5180" w:rsidRDefault="00D97952" w:rsidP="00FB5F28">
      <w:pPr>
        <w:pStyle w:val="Listofabbreviations"/>
        <w:rPr>
          <w:sz w:val="23"/>
          <w:szCs w:val="24"/>
          <w:lang w:eastAsia="en-GB"/>
        </w:rPr>
      </w:pPr>
      <w:r w:rsidRPr="003C5180">
        <w:rPr>
          <w:sz w:val="23"/>
          <w:szCs w:val="24"/>
          <w:lang w:eastAsia="en-GB"/>
        </w:rPr>
        <w:tab/>
        <w:t xml:space="preserve">Fax: </w:t>
      </w:r>
      <w:r w:rsidR="006C297C" w:rsidRPr="003C5180">
        <w:rPr>
          <w:sz w:val="23"/>
          <w:szCs w:val="24"/>
          <w:lang w:eastAsia="en-GB"/>
        </w:rPr>
        <w:t>+44 (0)2087250716</w:t>
      </w:r>
    </w:p>
    <w:p w14:paraId="5803B3CD" w14:textId="77777777" w:rsidR="004571CC" w:rsidRPr="003C5180" w:rsidRDefault="004571CC" w:rsidP="005D0383">
      <w:pPr>
        <w:pStyle w:val="Listofabbreviations"/>
        <w:ind w:left="3600"/>
        <w:rPr>
          <w:rFonts w:cs="Tahoma"/>
        </w:rPr>
      </w:pPr>
    </w:p>
    <w:p w14:paraId="21159CC3" w14:textId="77777777" w:rsidR="00B002BF" w:rsidRPr="003C5180" w:rsidRDefault="004571CC" w:rsidP="00FB5F28">
      <w:pPr>
        <w:pStyle w:val="Listofabbreviations"/>
        <w:rPr>
          <w:sz w:val="23"/>
          <w:szCs w:val="24"/>
          <w:lang w:eastAsia="en-GB"/>
        </w:rPr>
      </w:pPr>
      <w:r w:rsidRPr="003C5180">
        <w:rPr>
          <w:rFonts w:cs="Tahoma"/>
          <w:b/>
        </w:rPr>
        <w:t>Statistician:</w:t>
      </w:r>
      <w:r w:rsidR="00B002BF" w:rsidRPr="003C5180">
        <w:rPr>
          <w:rFonts w:cs="Tahoma"/>
          <w:b/>
        </w:rPr>
        <w:t xml:space="preserve">                     </w:t>
      </w:r>
      <w:r w:rsidR="005D0185" w:rsidRPr="003C5180">
        <w:rPr>
          <w:rFonts w:cs="Tahoma"/>
          <w:b/>
        </w:rPr>
        <w:t xml:space="preserve">    </w:t>
      </w:r>
      <w:r w:rsidR="00B002BF" w:rsidRPr="003C5180">
        <w:rPr>
          <w:rFonts w:cs="Tahoma"/>
          <w:b/>
        </w:rPr>
        <w:t xml:space="preserve">    </w:t>
      </w:r>
      <w:r w:rsidR="00FB5F28" w:rsidRPr="003C5180">
        <w:rPr>
          <w:rFonts w:cs="Tahoma"/>
          <w:b/>
        </w:rPr>
        <w:tab/>
      </w:r>
      <w:bookmarkStart w:id="9" w:name="OLE_LINK9"/>
      <w:bookmarkStart w:id="10" w:name="OLE_LINK10"/>
      <w:r w:rsidR="002F77E5">
        <w:rPr>
          <w:sz w:val="23"/>
          <w:szCs w:val="24"/>
          <w:lang w:eastAsia="en-GB"/>
        </w:rPr>
        <w:t>Professor</w:t>
      </w:r>
      <w:r w:rsidR="002F77E5" w:rsidRPr="003C5180">
        <w:rPr>
          <w:sz w:val="23"/>
          <w:szCs w:val="24"/>
          <w:lang w:eastAsia="en-GB"/>
        </w:rPr>
        <w:t xml:space="preserve"> </w:t>
      </w:r>
      <w:r w:rsidR="00D97952" w:rsidRPr="003C5180">
        <w:rPr>
          <w:sz w:val="23"/>
          <w:szCs w:val="24"/>
          <w:lang w:eastAsia="en-GB"/>
        </w:rPr>
        <w:t>Nick Andrews</w:t>
      </w:r>
    </w:p>
    <w:p w14:paraId="552B9DC9" w14:textId="77777777" w:rsidR="00FB5F28" w:rsidRPr="003C5180" w:rsidRDefault="00FB5F28" w:rsidP="00FB5F28">
      <w:pPr>
        <w:pStyle w:val="Listofabbreviations"/>
        <w:rPr>
          <w:sz w:val="23"/>
          <w:szCs w:val="24"/>
          <w:lang w:eastAsia="en-GB"/>
        </w:rPr>
      </w:pPr>
      <w:r w:rsidRPr="003C5180">
        <w:rPr>
          <w:sz w:val="23"/>
          <w:szCs w:val="24"/>
          <w:lang w:eastAsia="en-GB"/>
        </w:rPr>
        <w:t xml:space="preserve">         </w:t>
      </w:r>
      <w:r w:rsidRPr="003C5180">
        <w:rPr>
          <w:sz w:val="23"/>
          <w:szCs w:val="24"/>
          <w:lang w:eastAsia="en-GB"/>
        </w:rPr>
        <w:tab/>
        <w:t xml:space="preserve">Centre for Infections, Public Health England, </w:t>
      </w:r>
    </w:p>
    <w:p w14:paraId="055103A9" w14:textId="77777777" w:rsidR="00FB5F28" w:rsidRPr="005F137D" w:rsidRDefault="00FB5F28" w:rsidP="00FB5F28">
      <w:pPr>
        <w:pStyle w:val="Listofabbreviations"/>
        <w:rPr>
          <w:sz w:val="23"/>
          <w:szCs w:val="24"/>
          <w:lang w:val="fr-BE" w:eastAsia="en-GB"/>
        </w:rPr>
      </w:pPr>
      <w:r w:rsidRPr="003C5180">
        <w:rPr>
          <w:sz w:val="23"/>
          <w:szCs w:val="24"/>
          <w:lang w:eastAsia="en-GB"/>
        </w:rPr>
        <w:t xml:space="preserve">          </w:t>
      </w:r>
      <w:r w:rsidRPr="003C5180">
        <w:rPr>
          <w:sz w:val="23"/>
          <w:szCs w:val="24"/>
          <w:lang w:eastAsia="en-GB"/>
        </w:rPr>
        <w:tab/>
      </w:r>
      <w:r w:rsidR="00F00E98" w:rsidRPr="00F00E98">
        <w:rPr>
          <w:sz w:val="23"/>
          <w:szCs w:val="24"/>
          <w:lang w:val="fr-BE" w:eastAsia="en-GB"/>
        </w:rPr>
        <w:t>61 Colindale Avenue</w:t>
      </w:r>
    </w:p>
    <w:p w14:paraId="568C5BFC" w14:textId="3AF59456" w:rsidR="00FB5F28" w:rsidRPr="005F137D" w:rsidRDefault="00F00E98" w:rsidP="00EB48D5">
      <w:pPr>
        <w:pStyle w:val="Listofabbreviations"/>
        <w:rPr>
          <w:sz w:val="23"/>
          <w:szCs w:val="24"/>
          <w:lang w:val="fr-BE" w:eastAsia="en-GB"/>
        </w:rPr>
      </w:pPr>
      <w:r w:rsidRPr="00F00E98">
        <w:rPr>
          <w:sz w:val="23"/>
          <w:szCs w:val="24"/>
          <w:lang w:val="fr-BE" w:eastAsia="en-GB"/>
        </w:rPr>
        <w:t xml:space="preserve">          </w:t>
      </w:r>
      <w:r w:rsidRPr="00F00E98">
        <w:rPr>
          <w:sz w:val="23"/>
          <w:szCs w:val="24"/>
          <w:lang w:val="fr-BE" w:eastAsia="en-GB"/>
        </w:rPr>
        <w:tab/>
        <w:t>London</w:t>
      </w:r>
      <w:r w:rsidR="00EB48D5">
        <w:rPr>
          <w:sz w:val="23"/>
          <w:szCs w:val="24"/>
          <w:lang w:val="fr-BE" w:eastAsia="en-GB"/>
        </w:rPr>
        <w:t xml:space="preserve">, </w:t>
      </w:r>
      <w:r w:rsidRPr="00F00E98">
        <w:rPr>
          <w:sz w:val="23"/>
          <w:szCs w:val="24"/>
          <w:lang w:val="fr-BE" w:eastAsia="en-GB"/>
        </w:rPr>
        <w:t>NW9 5EQ</w:t>
      </w:r>
    </w:p>
    <w:bookmarkEnd w:id="9"/>
    <w:bookmarkEnd w:id="10"/>
    <w:p w14:paraId="61B1A9C3" w14:textId="77777777" w:rsidR="00FB5F28" w:rsidRPr="005F137D" w:rsidRDefault="00F00E98" w:rsidP="00FB5F28">
      <w:pPr>
        <w:pStyle w:val="Listofabbreviations"/>
        <w:rPr>
          <w:sz w:val="23"/>
          <w:szCs w:val="24"/>
          <w:lang w:val="fr-BE" w:eastAsia="en-GB"/>
        </w:rPr>
      </w:pPr>
      <w:r w:rsidRPr="00F00E98">
        <w:rPr>
          <w:sz w:val="23"/>
          <w:szCs w:val="24"/>
          <w:lang w:val="fr-BE" w:eastAsia="en-GB"/>
        </w:rPr>
        <w:t xml:space="preserve">           </w:t>
      </w:r>
      <w:r w:rsidRPr="00F00E98">
        <w:rPr>
          <w:sz w:val="23"/>
          <w:szCs w:val="24"/>
          <w:lang w:val="fr-BE" w:eastAsia="en-GB"/>
        </w:rPr>
        <w:tab/>
        <w:t>E-mail: Nick.Andrews@phe.gov.uk</w:t>
      </w:r>
    </w:p>
    <w:p w14:paraId="77CA8829" w14:textId="77777777" w:rsidR="00FB5F28" w:rsidRPr="005F137D" w:rsidRDefault="00F00E98" w:rsidP="00FB5F28">
      <w:pPr>
        <w:pStyle w:val="Listofabbreviations"/>
        <w:rPr>
          <w:sz w:val="23"/>
          <w:szCs w:val="24"/>
          <w:lang w:val="fr-BE" w:eastAsia="en-GB"/>
        </w:rPr>
      </w:pPr>
      <w:r w:rsidRPr="00F00E98">
        <w:rPr>
          <w:sz w:val="23"/>
          <w:szCs w:val="24"/>
          <w:lang w:val="fr-BE" w:eastAsia="en-GB"/>
        </w:rPr>
        <w:tab/>
        <w:t>Tel: +44 (0)20 8327 7419</w:t>
      </w:r>
    </w:p>
    <w:p w14:paraId="2FD6836F" w14:textId="77777777" w:rsidR="005D0383" w:rsidRPr="005F137D" w:rsidRDefault="00F00E98" w:rsidP="0098284C">
      <w:pPr>
        <w:pStyle w:val="Listofabbreviations"/>
        <w:rPr>
          <w:sz w:val="23"/>
          <w:szCs w:val="24"/>
          <w:lang w:val="fr-BE" w:eastAsia="en-GB"/>
        </w:rPr>
      </w:pPr>
      <w:r w:rsidRPr="00F00E98">
        <w:rPr>
          <w:sz w:val="23"/>
          <w:szCs w:val="24"/>
          <w:lang w:val="fr-BE" w:eastAsia="en-GB"/>
        </w:rPr>
        <w:t xml:space="preserve"> </w:t>
      </w:r>
      <w:r w:rsidRPr="00F00E98">
        <w:rPr>
          <w:sz w:val="23"/>
          <w:szCs w:val="24"/>
          <w:lang w:val="fr-BE" w:eastAsia="en-GB"/>
        </w:rPr>
        <w:tab/>
        <w:t>Fax: +44 (0)20 8327 7404</w:t>
      </w:r>
    </w:p>
    <w:p w14:paraId="537CFA96" w14:textId="77777777" w:rsidR="00924817" w:rsidRPr="005F137D" w:rsidRDefault="00924817" w:rsidP="00924817">
      <w:pPr>
        <w:pStyle w:val="Listofabbreviations"/>
        <w:rPr>
          <w:rFonts w:cs="Tahoma"/>
          <w:lang w:val="fr-BE"/>
        </w:rPr>
      </w:pPr>
    </w:p>
    <w:p w14:paraId="7CA62E58" w14:textId="77777777" w:rsidR="00D97952" w:rsidRPr="003C5180" w:rsidRDefault="00D97952" w:rsidP="00D97952">
      <w:pPr>
        <w:pStyle w:val="Listofabbreviations"/>
        <w:rPr>
          <w:sz w:val="23"/>
          <w:szCs w:val="24"/>
          <w:lang w:eastAsia="en-GB"/>
        </w:rPr>
      </w:pPr>
      <w:r w:rsidRPr="003C5180">
        <w:rPr>
          <w:rFonts w:cs="Tahoma"/>
          <w:b/>
        </w:rPr>
        <w:t>Study coordinator</w:t>
      </w:r>
      <w:r w:rsidR="00EF6363" w:rsidRPr="003C5180">
        <w:rPr>
          <w:rFonts w:cs="Tahoma"/>
          <w:b/>
        </w:rPr>
        <w:t>:</w:t>
      </w:r>
      <w:r w:rsidR="00924817" w:rsidRPr="003C5180">
        <w:rPr>
          <w:rFonts w:cs="Tahoma"/>
          <w:b/>
        </w:rPr>
        <w:t xml:space="preserve">                   </w:t>
      </w:r>
      <w:r w:rsidR="005D0185" w:rsidRPr="003C5180">
        <w:rPr>
          <w:rFonts w:cs="Tahoma"/>
          <w:b/>
        </w:rPr>
        <w:t xml:space="preserve"> </w:t>
      </w:r>
      <w:r w:rsidR="0015457C">
        <w:rPr>
          <w:rFonts w:cs="Tahoma"/>
          <w:b/>
        </w:rPr>
        <w:tab/>
      </w:r>
      <w:r w:rsidRPr="003C5180">
        <w:rPr>
          <w:sz w:val="23"/>
          <w:szCs w:val="24"/>
          <w:lang w:eastAsia="en-GB"/>
        </w:rPr>
        <w:t>Dr Anna Calvert</w:t>
      </w:r>
    </w:p>
    <w:p w14:paraId="0E4CEEB7" w14:textId="77777777" w:rsidR="00D97952" w:rsidRPr="003C5180" w:rsidRDefault="00D97952" w:rsidP="00D97952">
      <w:pPr>
        <w:pStyle w:val="Listofabbreviations"/>
        <w:rPr>
          <w:sz w:val="23"/>
          <w:szCs w:val="24"/>
          <w:lang w:eastAsia="en-GB"/>
        </w:rPr>
      </w:pPr>
      <w:r w:rsidRPr="003C5180">
        <w:rPr>
          <w:rFonts w:cs="Tahoma"/>
          <w:b/>
        </w:rPr>
        <w:tab/>
      </w:r>
      <w:r w:rsidRPr="003C5180">
        <w:rPr>
          <w:sz w:val="23"/>
          <w:szCs w:val="24"/>
          <w:lang w:eastAsia="en-GB"/>
        </w:rPr>
        <w:t>Vaccine Fellow</w:t>
      </w:r>
    </w:p>
    <w:p w14:paraId="386EA8FD" w14:textId="77777777" w:rsidR="00D97952" w:rsidRPr="003C5180" w:rsidRDefault="00D97952" w:rsidP="00D97952">
      <w:pPr>
        <w:pStyle w:val="Listofabbreviations"/>
        <w:rPr>
          <w:sz w:val="23"/>
          <w:szCs w:val="24"/>
          <w:lang w:eastAsia="en-GB"/>
        </w:rPr>
      </w:pPr>
      <w:r w:rsidRPr="003C5180">
        <w:rPr>
          <w:sz w:val="23"/>
          <w:szCs w:val="24"/>
          <w:lang w:eastAsia="en-GB"/>
        </w:rPr>
        <w:tab/>
        <w:t xml:space="preserve">Vaccine Institute, </w:t>
      </w:r>
    </w:p>
    <w:p w14:paraId="0855C8D5" w14:textId="77777777" w:rsidR="00D97952" w:rsidRPr="003C5180" w:rsidRDefault="00D97952" w:rsidP="00D97952">
      <w:pPr>
        <w:pStyle w:val="Listofabbreviations"/>
        <w:rPr>
          <w:sz w:val="23"/>
          <w:szCs w:val="24"/>
          <w:lang w:eastAsia="en-GB"/>
        </w:rPr>
      </w:pPr>
      <w:r w:rsidRPr="003C5180">
        <w:rPr>
          <w:sz w:val="23"/>
          <w:szCs w:val="24"/>
          <w:lang w:eastAsia="en-GB"/>
        </w:rPr>
        <w:t xml:space="preserve"> </w:t>
      </w:r>
      <w:r w:rsidRPr="003C5180">
        <w:rPr>
          <w:sz w:val="23"/>
          <w:szCs w:val="24"/>
          <w:lang w:eastAsia="en-GB"/>
        </w:rPr>
        <w:tab/>
        <w:t>St George’s, University of London</w:t>
      </w:r>
    </w:p>
    <w:p w14:paraId="75A7FE70" w14:textId="1B2D4B85" w:rsidR="00D97952" w:rsidRPr="003C5180" w:rsidRDefault="00D97952" w:rsidP="00EB48D5">
      <w:pPr>
        <w:pStyle w:val="Listofabbreviations"/>
        <w:rPr>
          <w:sz w:val="23"/>
          <w:szCs w:val="24"/>
          <w:lang w:eastAsia="en-GB"/>
        </w:rPr>
      </w:pPr>
      <w:r w:rsidRPr="003C5180">
        <w:rPr>
          <w:sz w:val="23"/>
          <w:szCs w:val="24"/>
          <w:lang w:eastAsia="en-GB"/>
        </w:rPr>
        <w:tab/>
        <w:t>Cranmer Terrace</w:t>
      </w:r>
      <w:r w:rsidR="00EB48D5">
        <w:rPr>
          <w:sz w:val="23"/>
          <w:szCs w:val="24"/>
          <w:lang w:eastAsia="en-GB"/>
        </w:rPr>
        <w:t xml:space="preserve">, </w:t>
      </w:r>
      <w:r w:rsidRPr="003C5180">
        <w:rPr>
          <w:sz w:val="23"/>
          <w:szCs w:val="24"/>
          <w:lang w:eastAsia="en-GB"/>
        </w:rPr>
        <w:t>Tooting</w:t>
      </w:r>
      <w:r w:rsidR="00EB48D5">
        <w:rPr>
          <w:sz w:val="23"/>
          <w:szCs w:val="24"/>
          <w:lang w:eastAsia="en-GB"/>
        </w:rPr>
        <w:t xml:space="preserve">, </w:t>
      </w:r>
      <w:r w:rsidRPr="003C5180">
        <w:rPr>
          <w:sz w:val="23"/>
          <w:szCs w:val="24"/>
          <w:lang w:eastAsia="en-GB"/>
        </w:rPr>
        <w:t>SW170RE</w:t>
      </w:r>
    </w:p>
    <w:p w14:paraId="48D9170F" w14:textId="77777777" w:rsidR="00924817" w:rsidRPr="003C5180" w:rsidRDefault="00924817" w:rsidP="00D97952">
      <w:pPr>
        <w:pStyle w:val="Listofabbreviations"/>
        <w:rPr>
          <w:sz w:val="23"/>
          <w:szCs w:val="24"/>
          <w:lang w:eastAsia="en-GB"/>
        </w:rPr>
      </w:pPr>
      <w:r w:rsidRPr="003C5180">
        <w:rPr>
          <w:sz w:val="23"/>
          <w:szCs w:val="24"/>
          <w:lang w:eastAsia="en-GB"/>
        </w:rPr>
        <w:tab/>
        <w:t xml:space="preserve">E-mail:  </w:t>
      </w:r>
      <w:r w:rsidR="00D97952" w:rsidRPr="003C5180">
        <w:rPr>
          <w:sz w:val="23"/>
          <w:szCs w:val="24"/>
          <w:lang w:eastAsia="en-GB"/>
        </w:rPr>
        <w:t>acalvert@sgul.ac.uk</w:t>
      </w:r>
      <w:r w:rsidRPr="003C5180">
        <w:rPr>
          <w:sz w:val="23"/>
          <w:szCs w:val="24"/>
          <w:lang w:eastAsia="en-GB"/>
        </w:rPr>
        <w:br/>
        <w:t xml:space="preserve">Phone:  </w:t>
      </w:r>
      <w:r w:rsidR="00D97952" w:rsidRPr="003C5180">
        <w:rPr>
          <w:sz w:val="23"/>
          <w:szCs w:val="24"/>
          <w:lang w:eastAsia="en-GB"/>
        </w:rPr>
        <w:t>02087253887</w:t>
      </w:r>
    </w:p>
    <w:p w14:paraId="4B566467" w14:textId="77777777" w:rsidR="00924817" w:rsidRPr="003C5180" w:rsidRDefault="00924817" w:rsidP="0069550F">
      <w:pPr>
        <w:pStyle w:val="Listofabbreviations"/>
        <w:rPr>
          <w:sz w:val="23"/>
          <w:szCs w:val="24"/>
          <w:lang w:eastAsia="en-GB"/>
        </w:rPr>
      </w:pPr>
      <w:r w:rsidRPr="003C5180">
        <w:rPr>
          <w:sz w:val="23"/>
          <w:szCs w:val="24"/>
          <w:lang w:eastAsia="en-GB"/>
        </w:rPr>
        <w:tab/>
      </w:r>
      <w:r w:rsidR="00EF6363" w:rsidRPr="003C5180">
        <w:rPr>
          <w:sz w:val="23"/>
          <w:szCs w:val="24"/>
          <w:lang w:eastAsia="en-GB"/>
        </w:rPr>
        <w:t>Fax: +44 (0)2087250716</w:t>
      </w:r>
    </w:p>
    <w:p w14:paraId="4C56A7F9" w14:textId="77777777" w:rsidR="006B469D" w:rsidRPr="003C5180" w:rsidRDefault="006B469D" w:rsidP="0069550F">
      <w:pPr>
        <w:pStyle w:val="Listofabbreviations"/>
        <w:rPr>
          <w:sz w:val="23"/>
          <w:szCs w:val="24"/>
          <w:lang w:eastAsia="en-GB"/>
        </w:rPr>
      </w:pPr>
    </w:p>
    <w:p w14:paraId="3376CC28" w14:textId="77777777" w:rsidR="006B469D" w:rsidRPr="003C5180" w:rsidRDefault="006B469D" w:rsidP="0069550F">
      <w:pPr>
        <w:pStyle w:val="Listofabbreviations"/>
        <w:rPr>
          <w:sz w:val="23"/>
          <w:szCs w:val="24"/>
          <w:lang w:eastAsia="en-GB"/>
        </w:rPr>
      </w:pPr>
      <w:r w:rsidRPr="003C5180">
        <w:rPr>
          <w:sz w:val="23"/>
          <w:szCs w:val="24"/>
          <w:lang w:eastAsia="en-GB"/>
        </w:rPr>
        <w:tab/>
        <w:t>Dr Shamez Ladhani</w:t>
      </w:r>
    </w:p>
    <w:p w14:paraId="6F82E60E" w14:textId="77777777" w:rsidR="006B469D" w:rsidRPr="003C5180" w:rsidRDefault="006B469D" w:rsidP="0069550F">
      <w:pPr>
        <w:pStyle w:val="Listofabbreviations"/>
        <w:rPr>
          <w:sz w:val="23"/>
          <w:szCs w:val="24"/>
          <w:lang w:eastAsia="en-GB"/>
        </w:rPr>
      </w:pPr>
      <w:r w:rsidRPr="003C5180">
        <w:rPr>
          <w:sz w:val="23"/>
          <w:szCs w:val="24"/>
          <w:lang w:eastAsia="en-GB"/>
        </w:rPr>
        <w:tab/>
        <w:t>Paediatric Infectious Disease Consultant</w:t>
      </w:r>
    </w:p>
    <w:p w14:paraId="0BC0AAE3" w14:textId="77777777" w:rsidR="006B469D" w:rsidRPr="003C5180" w:rsidRDefault="006B469D" w:rsidP="006B469D">
      <w:pPr>
        <w:pStyle w:val="Listofabbreviations"/>
        <w:rPr>
          <w:sz w:val="23"/>
          <w:szCs w:val="24"/>
          <w:lang w:eastAsia="en-GB"/>
        </w:rPr>
      </w:pPr>
      <w:r w:rsidRPr="003C5180">
        <w:rPr>
          <w:sz w:val="23"/>
          <w:szCs w:val="24"/>
          <w:lang w:eastAsia="en-GB"/>
        </w:rPr>
        <w:tab/>
        <w:t xml:space="preserve">Vaccine Institute, </w:t>
      </w:r>
    </w:p>
    <w:p w14:paraId="79688D6B" w14:textId="77777777" w:rsidR="006B469D" w:rsidRPr="003C5180" w:rsidRDefault="006B469D" w:rsidP="006B469D">
      <w:pPr>
        <w:pStyle w:val="Listofabbreviations"/>
        <w:rPr>
          <w:sz w:val="23"/>
          <w:szCs w:val="24"/>
          <w:lang w:eastAsia="en-GB"/>
        </w:rPr>
      </w:pPr>
      <w:r w:rsidRPr="003C5180">
        <w:rPr>
          <w:sz w:val="23"/>
          <w:szCs w:val="24"/>
          <w:lang w:eastAsia="en-GB"/>
        </w:rPr>
        <w:t xml:space="preserve"> </w:t>
      </w:r>
      <w:r w:rsidRPr="003C5180">
        <w:rPr>
          <w:sz w:val="23"/>
          <w:szCs w:val="24"/>
          <w:lang w:eastAsia="en-GB"/>
        </w:rPr>
        <w:tab/>
        <w:t>St George’s, University of London</w:t>
      </w:r>
    </w:p>
    <w:p w14:paraId="3B064299" w14:textId="77777777" w:rsidR="006B469D" w:rsidRPr="003C5180" w:rsidRDefault="006B469D" w:rsidP="006B469D">
      <w:pPr>
        <w:pStyle w:val="Listofabbreviations"/>
        <w:rPr>
          <w:sz w:val="23"/>
          <w:szCs w:val="24"/>
          <w:lang w:eastAsia="en-GB"/>
        </w:rPr>
      </w:pPr>
      <w:r w:rsidRPr="003C5180">
        <w:rPr>
          <w:sz w:val="23"/>
          <w:szCs w:val="24"/>
          <w:lang w:eastAsia="en-GB"/>
        </w:rPr>
        <w:tab/>
        <w:t>Cranmer Terrace</w:t>
      </w:r>
      <w:r w:rsidR="00712212">
        <w:rPr>
          <w:sz w:val="23"/>
          <w:szCs w:val="24"/>
          <w:lang w:eastAsia="en-GB"/>
        </w:rPr>
        <w:t xml:space="preserve">, </w:t>
      </w:r>
      <w:r w:rsidRPr="003C5180">
        <w:rPr>
          <w:sz w:val="23"/>
          <w:szCs w:val="24"/>
          <w:lang w:eastAsia="en-GB"/>
        </w:rPr>
        <w:t>Tooting</w:t>
      </w:r>
      <w:r w:rsidR="00712212">
        <w:rPr>
          <w:sz w:val="23"/>
          <w:szCs w:val="24"/>
          <w:lang w:eastAsia="en-GB"/>
        </w:rPr>
        <w:t xml:space="preserve">, </w:t>
      </w:r>
      <w:r w:rsidRPr="003C5180">
        <w:rPr>
          <w:sz w:val="23"/>
          <w:szCs w:val="24"/>
          <w:lang w:eastAsia="en-GB"/>
        </w:rPr>
        <w:t>SW170RE</w:t>
      </w:r>
    </w:p>
    <w:p w14:paraId="7A35C3D1" w14:textId="77777777" w:rsidR="006B469D" w:rsidRPr="003C5180" w:rsidRDefault="006B469D" w:rsidP="006B469D">
      <w:pPr>
        <w:pStyle w:val="Listofabbreviations"/>
        <w:rPr>
          <w:sz w:val="23"/>
          <w:szCs w:val="24"/>
          <w:lang w:eastAsia="en-GB"/>
        </w:rPr>
      </w:pPr>
      <w:r w:rsidRPr="003C5180">
        <w:rPr>
          <w:sz w:val="23"/>
          <w:szCs w:val="24"/>
          <w:lang w:eastAsia="en-GB"/>
        </w:rPr>
        <w:tab/>
        <w:t>E-mail:  Shamez.Ladhani@phe.gov.uk</w:t>
      </w:r>
      <w:r w:rsidRPr="003C5180">
        <w:rPr>
          <w:sz w:val="23"/>
          <w:szCs w:val="24"/>
          <w:lang w:eastAsia="en-GB"/>
        </w:rPr>
        <w:br/>
        <w:t>Phone:  02083277155</w:t>
      </w:r>
    </w:p>
    <w:p w14:paraId="7BA619C4" w14:textId="77777777" w:rsidR="004571CC" w:rsidRPr="003C5180" w:rsidRDefault="004571CC" w:rsidP="0069550F">
      <w:pPr>
        <w:pStyle w:val="Listofabbreviations"/>
        <w:ind w:left="0" w:firstLine="0"/>
        <w:rPr>
          <w:rFonts w:cs="Tahoma"/>
        </w:rPr>
      </w:pPr>
    </w:p>
    <w:p w14:paraId="2E376353" w14:textId="09E8FCC6" w:rsidR="004500BA" w:rsidRPr="003C5180" w:rsidRDefault="004571CC" w:rsidP="00C8348C">
      <w:pPr>
        <w:pStyle w:val="Listofabbreviations"/>
        <w:rPr>
          <w:sz w:val="23"/>
          <w:szCs w:val="24"/>
          <w:lang w:eastAsia="en-GB"/>
        </w:rPr>
      </w:pPr>
      <w:r w:rsidRPr="003C5180">
        <w:rPr>
          <w:b/>
          <w:sz w:val="23"/>
          <w:szCs w:val="24"/>
          <w:lang w:eastAsia="en-GB"/>
        </w:rPr>
        <w:t>Central Laboratory:</w:t>
      </w:r>
      <w:r w:rsidRPr="003C5180">
        <w:rPr>
          <w:rFonts w:cs="Tahoma"/>
          <w:b/>
        </w:rPr>
        <w:tab/>
      </w:r>
      <w:r w:rsidR="00AE54E3">
        <w:rPr>
          <w:rFonts w:cs="Tahoma"/>
          <w:b/>
        </w:rPr>
        <w:t xml:space="preserve">Dr </w:t>
      </w:r>
      <w:r w:rsidR="00C419B2">
        <w:rPr>
          <w:rFonts w:cs="Tahoma"/>
          <w:b/>
        </w:rPr>
        <w:t>Jennifer Louth</w:t>
      </w:r>
    </w:p>
    <w:p w14:paraId="1DEA2904" w14:textId="77777777" w:rsidR="004500BA" w:rsidRPr="003C5180" w:rsidRDefault="004500BA" w:rsidP="00C8348C">
      <w:pPr>
        <w:pStyle w:val="Listofabbreviations"/>
        <w:rPr>
          <w:sz w:val="23"/>
          <w:szCs w:val="24"/>
          <w:lang w:eastAsia="en-GB"/>
        </w:rPr>
      </w:pPr>
      <w:r w:rsidRPr="003C5180">
        <w:rPr>
          <w:sz w:val="23"/>
          <w:szCs w:val="24"/>
          <w:lang w:eastAsia="en-GB"/>
        </w:rPr>
        <w:tab/>
        <w:t>Public Health England Laboratory</w:t>
      </w:r>
    </w:p>
    <w:p w14:paraId="3B344B55" w14:textId="77777777" w:rsidR="004500BA" w:rsidRPr="003C5180" w:rsidRDefault="004500BA" w:rsidP="00C8348C">
      <w:pPr>
        <w:pStyle w:val="Listofabbreviations"/>
        <w:rPr>
          <w:sz w:val="23"/>
          <w:szCs w:val="24"/>
          <w:lang w:eastAsia="en-GB"/>
        </w:rPr>
      </w:pPr>
      <w:r w:rsidRPr="003C5180">
        <w:rPr>
          <w:sz w:val="23"/>
          <w:szCs w:val="24"/>
          <w:lang w:eastAsia="en-GB"/>
        </w:rPr>
        <w:tab/>
        <w:t>Manchester Medical Microbiology Partnership</w:t>
      </w:r>
    </w:p>
    <w:p w14:paraId="603ABD4A" w14:textId="77777777" w:rsidR="004500BA" w:rsidRPr="003C5180" w:rsidRDefault="004500BA" w:rsidP="00C8348C">
      <w:pPr>
        <w:pStyle w:val="Listofabbreviations"/>
        <w:rPr>
          <w:sz w:val="23"/>
          <w:szCs w:val="24"/>
          <w:lang w:eastAsia="en-GB"/>
        </w:rPr>
      </w:pPr>
      <w:r w:rsidRPr="003C5180">
        <w:rPr>
          <w:sz w:val="23"/>
          <w:szCs w:val="24"/>
          <w:lang w:eastAsia="en-GB"/>
        </w:rPr>
        <w:tab/>
        <w:t>PO Box 209</w:t>
      </w:r>
    </w:p>
    <w:p w14:paraId="487CAFAD" w14:textId="7EC725A4" w:rsidR="004500BA" w:rsidRPr="003C5180" w:rsidRDefault="004500BA" w:rsidP="00C8348C">
      <w:pPr>
        <w:pStyle w:val="Listofabbreviations"/>
        <w:rPr>
          <w:sz w:val="23"/>
          <w:szCs w:val="24"/>
          <w:lang w:eastAsia="en-GB"/>
        </w:rPr>
      </w:pPr>
      <w:r w:rsidRPr="003C5180">
        <w:rPr>
          <w:sz w:val="23"/>
          <w:szCs w:val="24"/>
          <w:lang w:eastAsia="en-GB"/>
        </w:rPr>
        <w:tab/>
        <w:t>2nd Floor Clinical Sciences Building 2</w:t>
      </w:r>
    </w:p>
    <w:p w14:paraId="726C59FC" w14:textId="77777777" w:rsidR="004500BA" w:rsidRPr="003C5180" w:rsidRDefault="004500BA" w:rsidP="00C8348C">
      <w:pPr>
        <w:pStyle w:val="Listofabbreviations"/>
        <w:rPr>
          <w:sz w:val="23"/>
          <w:szCs w:val="24"/>
          <w:lang w:eastAsia="en-GB"/>
        </w:rPr>
      </w:pPr>
      <w:r w:rsidRPr="003C5180">
        <w:rPr>
          <w:sz w:val="23"/>
          <w:szCs w:val="24"/>
          <w:lang w:eastAsia="en-GB"/>
        </w:rPr>
        <w:tab/>
        <w:t>Manchester Royal Infirmary</w:t>
      </w:r>
    </w:p>
    <w:p w14:paraId="41C50618" w14:textId="77777777" w:rsidR="004500BA" w:rsidRPr="003C5180" w:rsidRDefault="004500BA" w:rsidP="00C8348C">
      <w:pPr>
        <w:pStyle w:val="Listofabbreviations"/>
        <w:rPr>
          <w:sz w:val="23"/>
          <w:szCs w:val="24"/>
          <w:lang w:eastAsia="en-GB"/>
        </w:rPr>
      </w:pPr>
      <w:r w:rsidRPr="003C5180">
        <w:rPr>
          <w:sz w:val="23"/>
          <w:szCs w:val="24"/>
          <w:lang w:eastAsia="en-GB"/>
        </w:rPr>
        <w:tab/>
        <w:t>Oxford Road</w:t>
      </w:r>
    </w:p>
    <w:p w14:paraId="71A37C96" w14:textId="22F2584B" w:rsidR="004571CC" w:rsidRPr="005F137D" w:rsidRDefault="004500BA" w:rsidP="00EB48D5">
      <w:pPr>
        <w:pStyle w:val="Listofabbreviations"/>
        <w:rPr>
          <w:sz w:val="23"/>
          <w:szCs w:val="24"/>
          <w:lang w:val="de-DE" w:eastAsia="en-GB"/>
        </w:rPr>
      </w:pPr>
      <w:r w:rsidRPr="003C5180">
        <w:rPr>
          <w:sz w:val="23"/>
          <w:szCs w:val="24"/>
          <w:lang w:eastAsia="en-GB"/>
        </w:rPr>
        <w:tab/>
        <w:t>Manchester</w:t>
      </w:r>
      <w:r w:rsidR="00B254F4">
        <w:rPr>
          <w:sz w:val="23"/>
          <w:szCs w:val="24"/>
          <w:lang w:eastAsia="en-GB"/>
        </w:rPr>
        <w:t xml:space="preserve">, </w:t>
      </w:r>
      <w:r w:rsidR="00F00E98" w:rsidRPr="00F00E98">
        <w:rPr>
          <w:sz w:val="23"/>
          <w:szCs w:val="24"/>
          <w:lang w:val="de-DE" w:eastAsia="en-GB"/>
        </w:rPr>
        <w:t>M13 9WZ</w:t>
      </w:r>
      <w:r w:rsidR="00F00E98" w:rsidRPr="00F00E98">
        <w:rPr>
          <w:sz w:val="23"/>
          <w:szCs w:val="24"/>
          <w:lang w:val="de-DE" w:eastAsia="en-GB"/>
        </w:rPr>
        <w:br/>
        <w:t>E-mail:  helen.findlow@phe.gov.uk</w:t>
      </w:r>
      <w:r w:rsidR="00F00E98" w:rsidRPr="00F00E98">
        <w:rPr>
          <w:sz w:val="23"/>
          <w:szCs w:val="24"/>
          <w:lang w:val="de-DE" w:eastAsia="en-GB"/>
        </w:rPr>
        <w:br/>
        <w:t>Phone:  0161 2766793</w:t>
      </w:r>
    </w:p>
    <w:p w14:paraId="27EF88A5" w14:textId="77777777" w:rsidR="004571CC" w:rsidRPr="003C5180" w:rsidRDefault="00F00E98" w:rsidP="00610A21">
      <w:pPr>
        <w:pStyle w:val="Listofabbreviations"/>
        <w:rPr>
          <w:sz w:val="23"/>
          <w:szCs w:val="24"/>
          <w:lang w:eastAsia="en-GB"/>
        </w:rPr>
      </w:pPr>
      <w:r w:rsidRPr="00F00E98">
        <w:rPr>
          <w:sz w:val="23"/>
          <w:szCs w:val="24"/>
          <w:lang w:val="de-DE" w:eastAsia="en-GB"/>
        </w:rPr>
        <w:tab/>
      </w:r>
      <w:r w:rsidR="004571CC" w:rsidRPr="003C5180">
        <w:rPr>
          <w:sz w:val="23"/>
          <w:szCs w:val="24"/>
          <w:lang w:eastAsia="en-GB"/>
        </w:rPr>
        <w:t>Fax:</w:t>
      </w:r>
      <w:r w:rsidR="004500BA" w:rsidRPr="003C5180">
        <w:rPr>
          <w:sz w:val="23"/>
          <w:szCs w:val="24"/>
          <w:lang w:eastAsia="en-GB"/>
        </w:rPr>
        <w:t xml:space="preserve"> 0161 2765744</w:t>
      </w:r>
    </w:p>
    <w:p w14:paraId="2B59E90D" w14:textId="77777777" w:rsidR="004571CC" w:rsidRPr="003C5180" w:rsidRDefault="004571CC" w:rsidP="00610A21">
      <w:pPr>
        <w:pStyle w:val="Listofabbreviations"/>
        <w:rPr>
          <w:rFonts w:cs="Tahoma"/>
          <w:b/>
        </w:rPr>
      </w:pPr>
    </w:p>
    <w:p w14:paraId="334E59A9" w14:textId="77777777" w:rsidR="004D598E" w:rsidRPr="003C5180" w:rsidRDefault="00644B4C" w:rsidP="00026E3F">
      <w:pPr>
        <w:pStyle w:val="Listofabbreviations"/>
        <w:rPr>
          <w:sz w:val="23"/>
          <w:szCs w:val="24"/>
          <w:lang w:eastAsia="en-GB"/>
        </w:rPr>
      </w:pPr>
      <w:r>
        <w:rPr>
          <w:rFonts w:cs="Tahoma"/>
          <w:b/>
        </w:rPr>
        <w:t xml:space="preserve">Trial </w:t>
      </w:r>
      <w:r w:rsidR="004571CC" w:rsidRPr="003C5180">
        <w:rPr>
          <w:rFonts w:cs="Tahoma"/>
          <w:b/>
        </w:rPr>
        <w:t>Pharmac</w:t>
      </w:r>
      <w:r w:rsidR="001D7EBC">
        <w:rPr>
          <w:rFonts w:cs="Tahoma"/>
          <w:b/>
        </w:rPr>
        <w:t>y</w:t>
      </w:r>
      <w:r w:rsidR="004571CC" w:rsidRPr="003C5180">
        <w:rPr>
          <w:rFonts w:cs="Tahoma"/>
          <w:b/>
        </w:rPr>
        <w:t>:</w:t>
      </w:r>
      <w:r w:rsidR="004571CC" w:rsidRPr="003C5180">
        <w:rPr>
          <w:sz w:val="23"/>
          <w:szCs w:val="24"/>
          <w:lang w:eastAsia="en-GB"/>
        </w:rPr>
        <w:tab/>
      </w:r>
      <w:r w:rsidR="001D7EBC">
        <w:rPr>
          <w:sz w:val="23"/>
          <w:szCs w:val="24"/>
          <w:lang w:eastAsia="en-GB"/>
        </w:rPr>
        <w:t>Research Pharmacy, St George’s Hospital</w:t>
      </w:r>
      <w:r w:rsidR="005D0383" w:rsidRPr="003C5180">
        <w:rPr>
          <w:sz w:val="23"/>
          <w:szCs w:val="24"/>
          <w:lang w:eastAsia="en-GB"/>
        </w:rPr>
        <w:br/>
        <w:t xml:space="preserve">E-mail:  </w:t>
      </w:r>
      <w:r w:rsidR="001D7EBC">
        <w:rPr>
          <w:sz w:val="23"/>
          <w:szCs w:val="24"/>
          <w:lang w:eastAsia="en-GB"/>
        </w:rPr>
        <w:t>research.pharmacy</w:t>
      </w:r>
      <w:r w:rsidR="00EF6363" w:rsidRPr="003C5180">
        <w:rPr>
          <w:sz w:val="23"/>
          <w:szCs w:val="24"/>
          <w:lang w:eastAsia="en-GB"/>
        </w:rPr>
        <w:t>@stgeorges.nhs.uk</w:t>
      </w:r>
      <w:r w:rsidR="005D0383" w:rsidRPr="003C5180">
        <w:rPr>
          <w:sz w:val="23"/>
          <w:szCs w:val="24"/>
          <w:lang w:eastAsia="en-GB"/>
        </w:rPr>
        <w:br/>
        <w:t xml:space="preserve">Phone:  </w:t>
      </w:r>
      <w:r w:rsidR="00EF6363" w:rsidRPr="003C5180">
        <w:rPr>
          <w:sz w:val="23"/>
          <w:szCs w:val="24"/>
          <w:lang w:eastAsia="en-GB"/>
        </w:rPr>
        <w:t>020</w:t>
      </w:r>
      <w:r w:rsidR="001D7EBC">
        <w:rPr>
          <w:sz w:val="23"/>
          <w:szCs w:val="24"/>
          <w:lang w:eastAsia="en-GB"/>
        </w:rPr>
        <w:t xml:space="preserve"> </w:t>
      </w:r>
      <w:r w:rsidR="00EF6363" w:rsidRPr="003C5180">
        <w:rPr>
          <w:sz w:val="23"/>
          <w:szCs w:val="24"/>
          <w:lang w:eastAsia="en-GB"/>
        </w:rPr>
        <w:t>8725</w:t>
      </w:r>
      <w:r w:rsidR="001D7EBC">
        <w:rPr>
          <w:sz w:val="23"/>
          <w:szCs w:val="24"/>
          <w:lang w:eastAsia="en-GB"/>
        </w:rPr>
        <w:t xml:space="preserve"> </w:t>
      </w:r>
      <w:r w:rsidR="00EF6363" w:rsidRPr="003C5180">
        <w:rPr>
          <w:sz w:val="23"/>
          <w:szCs w:val="24"/>
          <w:lang w:eastAsia="en-GB"/>
        </w:rPr>
        <w:t>1294</w:t>
      </w:r>
    </w:p>
    <w:p w14:paraId="5FD27C3D" w14:textId="77777777" w:rsidR="004571CC" w:rsidRPr="003C5180" w:rsidRDefault="004571CC" w:rsidP="00610A21">
      <w:pPr>
        <w:pStyle w:val="Listofabbreviations"/>
        <w:rPr>
          <w:rFonts w:cs="Tahoma"/>
        </w:rPr>
      </w:pPr>
    </w:p>
    <w:p w14:paraId="28F513D1" w14:textId="77777777" w:rsidR="0069550F" w:rsidRPr="003C5180" w:rsidRDefault="00674D67" w:rsidP="00610A21">
      <w:pPr>
        <w:pStyle w:val="Listofabbreviations"/>
        <w:rPr>
          <w:sz w:val="23"/>
          <w:szCs w:val="24"/>
          <w:lang w:eastAsia="en-GB"/>
        </w:rPr>
      </w:pPr>
      <w:r w:rsidRPr="003C5180">
        <w:rPr>
          <w:rFonts w:cs="Tahoma"/>
          <w:b/>
        </w:rPr>
        <w:t>Trial Management Group</w:t>
      </w:r>
      <w:r w:rsidR="00843D03" w:rsidRPr="003C5180">
        <w:rPr>
          <w:rFonts w:cs="Tahoma"/>
          <w:b/>
        </w:rPr>
        <w:t>:</w:t>
      </w:r>
      <w:r w:rsidR="00085148" w:rsidRPr="003C5180">
        <w:rPr>
          <w:rFonts w:cs="Tahoma"/>
        </w:rPr>
        <w:tab/>
      </w:r>
      <w:r w:rsidR="00CE708B" w:rsidRPr="003C5180">
        <w:rPr>
          <w:b/>
          <w:sz w:val="23"/>
          <w:szCs w:val="24"/>
          <w:lang w:eastAsia="en-GB"/>
        </w:rPr>
        <w:t>Membership:</w:t>
      </w:r>
      <w:r w:rsidR="00887F55" w:rsidRPr="003C5180">
        <w:rPr>
          <w:sz w:val="23"/>
          <w:szCs w:val="24"/>
          <w:lang w:eastAsia="en-GB"/>
        </w:rPr>
        <w:t xml:space="preserve"> </w:t>
      </w:r>
    </w:p>
    <w:p w14:paraId="5D0602BB" w14:textId="77777777" w:rsidR="00CE708B" w:rsidRPr="003C5180" w:rsidRDefault="0069550F" w:rsidP="00610A21">
      <w:pPr>
        <w:pStyle w:val="Listofabbreviations"/>
        <w:rPr>
          <w:sz w:val="23"/>
          <w:szCs w:val="24"/>
          <w:lang w:eastAsia="en-GB"/>
        </w:rPr>
      </w:pPr>
      <w:r w:rsidRPr="003C5180">
        <w:rPr>
          <w:sz w:val="23"/>
          <w:szCs w:val="24"/>
          <w:lang w:eastAsia="en-GB"/>
        </w:rPr>
        <w:tab/>
        <w:t>Professor Paul Heath, CI</w:t>
      </w:r>
    </w:p>
    <w:p w14:paraId="4AA3968D" w14:textId="77777777" w:rsidR="0069550F" w:rsidRDefault="0069550F" w:rsidP="00610A21">
      <w:pPr>
        <w:pStyle w:val="Listofabbreviations"/>
        <w:rPr>
          <w:sz w:val="23"/>
          <w:szCs w:val="24"/>
          <w:lang w:eastAsia="en-GB"/>
        </w:rPr>
      </w:pPr>
      <w:r w:rsidRPr="003C5180">
        <w:rPr>
          <w:sz w:val="23"/>
          <w:szCs w:val="24"/>
          <w:lang w:eastAsia="en-GB"/>
        </w:rPr>
        <w:tab/>
        <w:t>Dr Anna Calvert, Study co-ordinator</w:t>
      </w:r>
    </w:p>
    <w:p w14:paraId="00D3782B" w14:textId="6EC77D3F" w:rsidR="00724746" w:rsidRPr="003C5180" w:rsidRDefault="00724746" w:rsidP="00610A21">
      <w:pPr>
        <w:pStyle w:val="Listofabbreviations"/>
        <w:rPr>
          <w:sz w:val="23"/>
          <w:szCs w:val="24"/>
          <w:lang w:eastAsia="en-GB"/>
        </w:rPr>
      </w:pPr>
      <w:r>
        <w:rPr>
          <w:sz w:val="23"/>
          <w:szCs w:val="24"/>
          <w:lang w:eastAsia="en-GB"/>
        </w:rPr>
        <w:tab/>
      </w:r>
      <w:r w:rsidR="00AE54E3">
        <w:rPr>
          <w:sz w:val="23"/>
          <w:szCs w:val="24"/>
          <w:lang w:eastAsia="en-GB"/>
        </w:rPr>
        <w:t>–Trial Monitor- TBA</w:t>
      </w:r>
    </w:p>
    <w:p w14:paraId="4BB5AE09" w14:textId="77777777" w:rsidR="0069550F" w:rsidRPr="003C5180" w:rsidRDefault="0069550F" w:rsidP="00610A21">
      <w:pPr>
        <w:pStyle w:val="Listofabbreviations"/>
        <w:rPr>
          <w:sz w:val="23"/>
          <w:szCs w:val="24"/>
          <w:lang w:eastAsia="en-GB"/>
        </w:rPr>
      </w:pPr>
      <w:r w:rsidRPr="003C5180">
        <w:rPr>
          <w:sz w:val="23"/>
          <w:szCs w:val="24"/>
          <w:lang w:eastAsia="en-GB"/>
        </w:rPr>
        <w:tab/>
      </w:r>
      <w:r w:rsidR="002F77E5">
        <w:rPr>
          <w:sz w:val="23"/>
          <w:szCs w:val="24"/>
          <w:lang w:eastAsia="en-GB"/>
        </w:rPr>
        <w:t>Professor</w:t>
      </w:r>
      <w:r w:rsidR="002F77E5" w:rsidRPr="003C5180">
        <w:rPr>
          <w:sz w:val="23"/>
          <w:szCs w:val="24"/>
          <w:lang w:eastAsia="en-GB"/>
        </w:rPr>
        <w:t xml:space="preserve"> </w:t>
      </w:r>
      <w:r w:rsidRPr="003C5180">
        <w:rPr>
          <w:sz w:val="23"/>
          <w:szCs w:val="24"/>
          <w:lang w:eastAsia="en-GB"/>
        </w:rPr>
        <w:t>Nick Andrews, Statistician</w:t>
      </w:r>
    </w:p>
    <w:p w14:paraId="13E273C1" w14:textId="77777777" w:rsidR="00EF6363" w:rsidRPr="003C5180" w:rsidRDefault="00EF6363" w:rsidP="00610A21">
      <w:pPr>
        <w:pStyle w:val="Listofabbreviations"/>
        <w:rPr>
          <w:sz w:val="23"/>
          <w:szCs w:val="24"/>
          <w:lang w:eastAsia="en-GB"/>
        </w:rPr>
      </w:pPr>
      <w:r w:rsidRPr="003C5180">
        <w:rPr>
          <w:sz w:val="23"/>
          <w:szCs w:val="24"/>
          <w:lang w:eastAsia="en-GB"/>
        </w:rPr>
        <w:tab/>
        <w:t>Dr Shamez Ladhani</w:t>
      </w:r>
    </w:p>
    <w:p w14:paraId="717F61F1" w14:textId="4A35FCB7" w:rsidR="00EF6363" w:rsidRDefault="00926B6F" w:rsidP="00B254F4">
      <w:pPr>
        <w:pStyle w:val="Listofabbreviations"/>
        <w:ind w:left="0" w:firstLine="0"/>
        <w:rPr>
          <w:sz w:val="23"/>
          <w:szCs w:val="24"/>
          <w:lang w:eastAsia="en-GB"/>
        </w:rPr>
      </w:pPr>
      <w:r>
        <w:rPr>
          <w:sz w:val="23"/>
          <w:szCs w:val="24"/>
          <w:lang w:eastAsia="en-GB"/>
        </w:rPr>
        <w:t xml:space="preserve"> Dr Jennifer Louth</w:t>
      </w:r>
    </w:p>
    <w:p w14:paraId="3EDD488C" w14:textId="77777777" w:rsidR="00DE57A6" w:rsidRDefault="00DE57A6" w:rsidP="00610A21">
      <w:pPr>
        <w:pStyle w:val="Listofabbreviations"/>
        <w:rPr>
          <w:sz w:val="23"/>
          <w:szCs w:val="24"/>
          <w:lang w:eastAsia="en-GB"/>
        </w:rPr>
      </w:pPr>
      <w:r>
        <w:rPr>
          <w:sz w:val="23"/>
          <w:szCs w:val="24"/>
          <w:lang w:eastAsia="en-GB"/>
        </w:rPr>
        <w:tab/>
        <w:t>Dr Chrissie Jones, Southampton</w:t>
      </w:r>
    </w:p>
    <w:p w14:paraId="4A34EF36" w14:textId="77777777" w:rsidR="00DE57A6" w:rsidRDefault="00DE57A6" w:rsidP="00610A21">
      <w:pPr>
        <w:pStyle w:val="Listofabbreviations"/>
        <w:rPr>
          <w:sz w:val="23"/>
          <w:szCs w:val="24"/>
          <w:lang w:eastAsia="en-GB"/>
        </w:rPr>
      </w:pPr>
      <w:r>
        <w:rPr>
          <w:sz w:val="23"/>
          <w:szCs w:val="24"/>
          <w:lang w:eastAsia="en-GB"/>
        </w:rPr>
        <w:tab/>
        <w:t>Dr Tim Scorrer, Portsmouth</w:t>
      </w:r>
    </w:p>
    <w:p w14:paraId="6BC9C7FA" w14:textId="77777777" w:rsidR="001E7DAA" w:rsidRDefault="001E7DAA" w:rsidP="00610A21">
      <w:pPr>
        <w:pStyle w:val="Listofabbreviations"/>
        <w:rPr>
          <w:sz w:val="23"/>
          <w:szCs w:val="24"/>
          <w:lang w:eastAsia="en-GB"/>
        </w:rPr>
      </w:pPr>
      <w:r>
        <w:rPr>
          <w:sz w:val="23"/>
          <w:szCs w:val="24"/>
          <w:lang w:eastAsia="en-GB"/>
        </w:rPr>
        <w:tab/>
        <w:t>Dr Matthew Snape, Oxford</w:t>
      </w:r>
    </w:p>
    <w:p w14:paraId="3709A819" w14:textId="77777777" w:rsidR="00752F0E" w:rsidRDefault="00752F0E" w:rsidP="00610A21">
      <w:pPr>
        <w:pStyle w:val="Listofabbreviations"/>
        <w:rPr>
          <w:sz w:val="23"/>
          <w:szCs w:val="24"/>
          <w:lang w:eastAsia="en-GB"/>
        </w:rPr>
      </w:pPr>
      <w:r>
        <w:rPr>
          <w:sz w:val="23"/>
          <w:szCs w:val="24"/>
          <w:lang w:eastAsia="en-GB"/>
        </w:rPr>
        <w:tab/>
        <w:t>Dr Andrew Collinson, Cornwall</w:t>
      </w:r>
    </w:p>
    <w:p w14:paraId="08829EAD" w14:textId="77777777" w:rsidR="00752F0E" w:rsidRDefault="00752F0E" w:rsidP="00610A21">
      <w:pPr>
        <w:pStyle w:val="Listofabbreviations"/>
        <w:rPr>
          <w:sz w:val="23"/>
          <w:szCs w:val="24"/>
          <w:lang w:eastAsia="en-GB"/>
        </w:rPr>
      </w:pPr>
      <w:r>
        <w:rPr>
          <w:sz w:val="23"/>
          <w:szCs w:val="24"/>
          <w:lang w:eastAsia="en-GB"/>
        </w:rPr>
        <w:tab/>
        <w:t>Dr Paul Clarke, Norfolk and Norwich</w:t>
      </w:r>
    </w:p>
    <w:p w14:paraId="160E134A" w14:textId="77777777" w:rsidR="001D7EBC" w:rsidRDefault="001D7EBC" w:rsidP="00610A21">
      <w:pPr>
        <w:pStyle w:val="Listofabbreviations"/>
        <w:rPr>
          <w:sz w:val="23"/>
          <w:szCs w:val="24"/>
          <w:lang w:eastAsia="en-GB"/>
        </w:rPr>
      </w:pPr>
    </w:p>
    <w:p w14:paraId="3506B974" w14:textId="1517B647" w:rsidR="001D7EBC" w:rsidRDefault="001D7EBC" w:rsidP="00610A21">
      <w:pPr>
        <w:pStyle w:val="Listofabbreviations"/>
        <w:rPr>
          <w:sz w:val="23"/>
          <w:szCs w:val="24"/>
          <w:lang w:eastAsia="en-GB"/>
        </w:rPr>
      </w:pPr>
      <w:r w:rsidRPr="00B254F4">
        <w:rPr>
          <w:b/>
          <w:sz w:val="23"/>
          <w:szCs w:val="24"/>
          <w:lang w:eastAsia="en-GB"/>
        </w:rPr>
        <w:t>Trial Monitor:</w:t>
      </w:r>
      <w:r>
        <w:rPr>
          <w:sz w:val="23"/>
          <w:szCs w:val="24"/>
          <w:lang w:eastAsia="en-GB"/>
        </w:rPr>
        <w:tab/>
      </w:r>
      <w:r w:rsidR="00ED2F59">
        <w:rPr>
          <w:sz w:val="23"/>
          <w:szCs w:val="24"/>
          <w:lang w:eastAsia="en-GB"/>
        </w:rPr>
        <w:t>to be confirmed</w:t>
      </w:r>
    </w:p>
    <w:p w14:paraId="0E5F664E" w14:textId="038EEC35" w:rsidR="001D7EBC" w:rsidRPr="003C5180" w:rsidRDefault="001D7EBC" w:rsidP="00610A21">
      <w:pPr>
        <w:pStyle w:val="Listofabbreviations"/>
        <w:rPr>
          <w:sz w:val="23"/>
          <w:szCs w:val="24"/>
          <w:lang w:eastAsia="en-GB"/>
        </w:rPr>
      </w:pPr>
      <w:r>
        <w:rPr>
          <w:sz w:val="23"/>
          <w:szCs w:val="24"/>
          <w:lang w:eastAsia="en-GB"/>
        </w:rPr>
        <w:tab/>
        <w:t>E-mail:</w:t>
      </w:r>
      <w:r w:rsidR="00ED2F59">
        <w:t xml:space="preserve">  </w:t>
      </w:r>
      <w:r w:rsidR="00ED2F59">
        <w:tab/>
      </w:r>
      <w:r w:rsidR="00ED2F59">
        <w:tab/>
      </w:r>
      <w:r>
        <w:rPr>
          <w:sz w:val="23"/>
          <w:szCs w:val="24"/>
          <w:lang w:eastAsia="en-GB"/>
        </w:rPr>
        <w:tab/>
        <w:t xml:space="preserve">Phone: </w:t>
      </w:r>
      <w:r w:rsidR="0089741A">
        <w:rPr>
          <w:rFonts w:ascii="Arial" w:hAnsi="Arial" w:cs="Arial"/>
          <w:color w:val="000000"/>
          <w:sz w:val="20"/>
          <w:szCs w:val="20"/>
          <w:lang w:eastAsia="en-GB"/>
        </w:rPr>
        <w:t>020</w:t>
      </w:r>
      <w:r w:rsidR="00B254F4">
        <w:rPr>
          <w:rFonts w:ascii="Arial" w:hAnsi="Arial" w:cs="Arial"/>
          <w:color w:val="000000"/>
          <w:sz w:val="20"/>
          <w:szCs w:val="20"/>
          <w:lang w:eastAsia="en-GB"/>
        </w:rPr>
        <w:t xml:space="preserve"> </w:t>
      </w:r>
      <w:r w:rsidR="0089741A">
        <w:rPr>
          <w:rFonts w:ascii="Arial" w:hAnsi="Arial" w:cs="Arial"/>
          <w:color w:val="000000"/>
          <w:sz w:val="20"/>
          <w:szCs w:val="20"/>
          <w:lang w:eastAsia="en-GB"/>
        </w:rPr>
        <w:t>8725 3784</w:t>
      </w:r>
    </w:p>
    <w:p w14:paraId="7CE4684B" w14:textId="77777777" w:rsidR="00E05452" w:rsidRPr="003C5180" w:rsidRDefault="00017A8C" w:rsidP="00637B97">
      <w:pPr>
        <w:pStyle w:val="Listofabbreviations"/>
        <w:rPr>
          <w:rFonts w:cs="Tahoma"/>
        </w:rPr>
      </w:pPr>
      <w:r w:rsidRPr="003C5180">
        <w:rPr>
          <w:sz w:val="23"/>
          <w:szCs w:val="24"/>
          <w:lang w:eastAsia="en-GB"/>
        </w:rPr>
        <w:tab/>
      </w:r>
      <w:r w:rsidR="00CE708B" w:rsidRPr="003C5180">
        <w:rPr>
          <w:rFonts w:cs="Tahoma"/>
          <w:b/>
        </w:rPr>
        <w:t xml:space="preserve"> </w:t>
      </w:r>
    </w:p>
    <w:p w14:paraId="6181FAA8" w14:textId="77777777" w:rsidR="00674D67" w:rsidRPr="003C5180" w:rsidRDefault="00674D67" w:rsidP="00610A21">
      <w:pPr>
        <w:pStyle w:val="Listofabbreviations"/>
        <w:rPr>
          <w:rFonts w:cs="Tahoma"/>
        </w:rPr>
      </w:pPr>
    </w:p>
    <w:p w14:paraId="5279F125" w14:textId="2494BCE2" w:rsidR="00674D67" w:rsidRDefault="00724746" w:rsidP="00610A21">
      <w:pPr>
        <w:pStyle w:val="Listofabbreviations"/>
        <w:rPr>
          <w:rFonts w:cs="Tahoma"/>
        </w:rPr>
      </w:pPr>
      <w:r w:rsidRPr="00B254F4">
        <w:rPr>
          <w:rFonts w:cs="Tahoma"/>
          <w:b/>
        </w:rPr>
        <w:t>Adverse event Reporting</w:t>
      </w:r>
      <w:r w:rsidR="00EB48D5" w:rsidRPr="00B254F4">
        <w:rPr>
          <w:rFonts w:cs="Tahoma"/>
          <w:b/>
        </w:rPr>
        <w:t>:</w:t>
      </w:r>
      <w:r>
        <w:rPr>
          <w:rFonts w:cs="Tahoma"/>
        </w:rPr>
        <w:tab/>
      </w:r>
      <w:hyperlink r:id="rId9" w:history="1">
        <w:r w:rsidRPr="00D96728">
          <w:rPr>
            <w:rStyle w:val="Hyperlink"/>
            <w:rFonts w:cs="Tahoma"/>
            <w:color w:val="auto"/>
            <w:u w:val="none"/>
          </w:rPr>
          <w:t>adverseevents@sgul.ac.uk</w:t>
        </w:r>
      </w:hyperlink>
    </w:p>
    <w:p w14:paraId="2B250AC9" w14:textId="77777777" w:rsidR="00724746" w:rsidRDefault="00724746" w:rsidP="00610A21">
      <w:pPr>
        <w:pStyle w:val="Listofabbreviations"/>
        <w:rPr>
          <w:rFonts w:cs="Tahoma"/>
        </w:rPr>
      </w:pPr>
      <w:r>
        <w:rPr>
          <w:rFonts w:cs="Tahoma"/>
        </w:rPr>
        <w:tab/>
        <w:t>Fax: 020 8725 0794</w:t>
      </w:r>
    </w:p>
    <w:p w14:paraId="471B7B8A" w14:textId="77777777" w:rsidR="00724746" w:rsidRPr="007201D9" w:rsidRDefault="00724746" w:rsidP="00610A21">
      <w:pPr>
        <w:pStyle w:val="Listofabbreviations"/>
        <w:rPr>
          <w:rFonts w:cs="Tahoma"/>
          <w:b/>
        </w:rPr>
      </w:pPr>
      <w:r>
        <w:rPr>
          <w:rFonts w:cs="Tahoma"/>
        </w:rPr>
        <w:tab/>
      </w:r>
      <w:r w:rsidR="007201D9" w:rsidRPr="007201D9">
        <w:rPr>
          <w:rFonts w:cs="Tahoma"/>
          <w:b/>
        </w:rPr>
        <w:t>To inform GSK (SGUL use only)</w:t>
      </w:r>
    </w:p>
    <w:p w14:paraId="045F31A8" w14:textId="77777777" w:rsidR="007201D9" w:rsidRPr="003C5180" w:rsidRDefault="007201D9" w:rsidP="00F4235D">
      <w:pPr>
        <w:rPr>
          <w:rFonts w:cs="Tahoma"/>
        </w:rPr>
      </w:pPr>
      <w:r>
        <w:rPr>
          <w:rFonts w:cs="Tahoma"/>
        </w:rPr>
        <w:tab/>
      </w:r>
      <w:r>
        <w:rPr>
          <w:rFonts w:cs="Tahoma"/>
        </w:rPr>
        <w:tab/>
      </w:r>
      <w:r>
        <w:rPr>
          <w:rFonts w:cs="Tahoma"/>
        </w:rPr>
        <w:tab/>
      </w:r>
      <w:r>
        <w:rPr>
          <w:rFonts w:cs="Tahoma"/>
        </w:rPr>
        <w:tab/>
        <w:t xml:space="preserve">          </w:t>
      </w:r>
      <w:r w:rsidRPr="007201D9">
        <w:rPr>
          <w:rFonts w:cs="Tahoma"/>
          <w:sz w:val="22"/>
          <w:szCs w:val="22"/>
        </w:rPr>
        <w:t>UK PharmaSafety Mailbox: 020 8043 1445</w:t>
      </w:r>
      <w:r w:rsidRPr="007201D9">
        <w:rPr>
          <w:rFonts w:cs="Tahoma"/>
          <w:sz w:val="22"/>
          <w:szCs w:val="22"/>
        </w:rPr>
        <w:tab/>
      </w:r>
      <w:r w:rsidRPr="007201D9">
        <w:rPr>
          <w:rFonts w:cs="Tahoma"/>
          <w:sz w:val="22"/>
          <w:szCs w:val="22"/>
        </w:rPr>
        <w:tab/>
      </w:r>
      <w:r w:rsidRPr="007201D9">
        <w:rPr>
          <w:rFonts w:cs="Tahoma"/>
          <w:sz w:val="22"/>
          <w:szCs w:val="22"/>
        </w:rPr>
        <w:tab/>
      </w:r>
      <w:r w:rsidRPr="007201D9">
        <w:rPr>
          <w:rFonts w:cs="Tahoma"/>
          <w:sz w:val="22"/>
          <w:szCs w:val="22"/>
        </w:rPr>
        <w:tab/>
      </w:r>
      <w:r w:rsidRPr="007201D9">
        <w:rPr>
          <w:rFonts w:cs="Tahoma"/>
          <w:sz w:val="22"/>
          <w:szCs w:val="22"/>
        </w:rPr>
        <w:tab/>
        <w:t xml:space="preserve">                    </w:t>
      </w:r>
      <w:r>
        <w:rPr>
          <w:rFonts w:cs="Tahoma"/>
          <w:sz w:val="22"/>
          <w:szCs w:val="22"/>
        </w:rPr>
        <w:t xml:space="preserve">                    </w:t>
      </w:r>
      <w:hyperlink r:id="rId10" w:history="1">
        <w:r w:rsidRPr="007201D9">
          <w:rPr>
            <w:rFonts w:cs="Tahoma"/>
            <w:sz w:val="22"/>
            <w:szCs w:val="22"/>
          </w:rPr>
          <w:t>ukpharmasafety@gsk.com</w:t>
        </w:r>
      </w:hyperlink>
      <w:r>
        <w:rPr>
          <w:rFonts w:ascii="Arial" w:hAnsi="Arial" w:cs="Arial"/>
        </w:rPr>
        <w:t xml:space="preserve"> </w:t>
      </w:r>
    </w:p>
    <w:p w14:paraId="5300A94F" w14:textId="77777777" w:rsidR="00E05452" w:rsidRPr="003C5180" w:rsidRDefault="000E52D2" w:rsidP="00610A21">
      <w:pPr>
        <w:pStyle w:val="Listofabbreviations"/>
        <w:rPr>
          <w:rFonts w:cs="Tahoma"/>
        </w:rPr>
      </w:pPr>
      <w:r w:rsidRPr="003C5180">
        <w:rPr>
          <w:rFonts w:cs="Tahoma"/>
        </w:rPr>
        <w:br w:type="page"/>
      </w:r>
    </w:p>
    <w:p w14:paraId="5B6C2D24" w14:textId="77777777" w:rsidR="004571CC" w:rsidRPr="003C5180" w:rsidRDefault="004D598E" w:rsidP="00586EF2">
      <w:pPr>
        <w:pStyle w:val="Heading1"/>
        <w:numPr>
          <w:ilvl w:val="0"/>
          <w:numId w:val="20"/>
        </w:numPr>
        <w:rPr>
          <w:rFonts w:ascii="Calibri" w:hAnsi="Calibri"/>
          <w:b w:val="0"/>
          <w:i/>
          <w:sz w:val="24"/>
          <w:szCs w:val="24"/>
        </w:rPr>
      </w:pPr>
      <w:bookmarkStart w:id="11" w:name="_Toc261532637"/>
      <w:bookmarkStart w:id="12" w:name="_Toc470102455"/>
      <w:r w:rsidRPr="003C5180">
        <w:rPr>
          <w:rFonts w:ascii="Calibri" w:hAnsi="Calibri"/>
          <w:szCs w:val="28"/>
        </w:rPr>
        <w:t>S</w:t>
      </w:r>
      <w:r w:rsidR="004571CC" w:rsidRPr="003C5180">
        <w:rPr>
          <w:rFonts w:ascii="Calibri" w:hAnsi="Calibri"/>
          <w:szCs w:val="28"/>
        </w:rPr>
        <w:t>tudy synopsi</w:t>
      </w:r>
      <w:bookmarkEnd w:id="11"/>
      <w:r w:rsidR="00DE7685" w:rsidRPr="003C5180">
        <w:rPr>
          <w:rFonts w:ascii="Calibri" w:hAnsi="Calibri"/>
          <w:szCs w:val="28"/>
        </w:rPr>
        <w:t>s</w:t>
      </w:r>
      <w:bookmarkEnd w:id="1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7574"/>
      </w:tblGrid>
      <w:tr w:rsidR="00924817" w:rsidRPr="003C5180" w14:paraId="57C2272A" w14:textId="77777777" w:rsidTr="007104C5">
        <w:trPr>
          <w:trHeight w:val="550"/>
        </w:trPr>
        <w:tc>
          <w:tcPr>
            <w:tcW w:w="1668" w:type="dxa"/>
            <w:vAlign w:val="center"/>
          </w:tcPr>
          <w:p w14:paraId="600C9811" w14:textId="77777777" w:rsidR="00924817" w:rsidRPr="003C5180" w:rsidRDefault="008B2669" w:rsidP="00924817">
            <w:pPr>
              <w:pStyle w:val="Normal-nospacing"/>
              <w:spacing w:line="240" w:lineRule="auto"/>
              <w:rPr>
                <w:rFonts w:cs="Tahoma"/>
                <w:b/>
                <w:sz w:val="22"/>
                <w:szCs w:val="22"/>
              </w:rPr>
            </w:pPr>
            <w:r w:rsidRPr="003C5180">
              <w:rPr>
                <w:b/>
                <w:szCs w:val="24"/>
                <w:lang w:eastAsia="en-GB"/>
              </w:rPr>
              <w:t>Brief Title</w:t>
            </w:r>
          </w:p>
        </w:tc>
        <w:tc>
          <w:tcPr>
            <w:tcW w:w="7574" w:type="dxa"/>
            <w:vAlign w:val="center"/>
          </w:tcPr>
          <w:p w14:paraId="5E32A3C8" w14:textId="77777777" w:rsidR="00924817" w:rsidRPr="003C5180" w:rsidRDefault="007104C5" w:rsidP="007104C5">
            <w:pPr>
              <w:jc w:val="both"/>
              <w:rPr>
                <w:rFonts w:cs="Arial"/>
                <w:sz w:val="22"/>
                <w:szCs w:val="22"/>
              </w:rPr>
            </w:pPr>
            <w:r w:rsidRPr="003C5180">
              <w:rPr>
                <w:lang w:eastAsia="en-GB"/>
              </w:rPr>
              <w:t xml:space="preserve"> </w:t>
            </w:r>
            <w:r w:rsidRPr="003C5180">
              <w:rPr>
                <w:b/>
                <w:lang w:eastAsia="en-GB"/>
              </w:rPr>
              <w:t>BEAR</w:t>
            </w:r>
            <w:r w:rsidRPr="003C5180">
              <w:rPr>
                <w:lang w:eastAsia="en-GB"/>
              </w:rPr>
              <w:t xml:space="preserve"> MenB</w:t>
            </w:r>
          </w:p>
        </w:tc>
      </w:tr>
      <w:tr w:rsidR="00924817" w:rsidRPr="003C5180" w14:paraId="061BB361" w14:textId="77777777" w:rsidTr="007104C5">
        <w:trPr>
          <w:trHeight w:val="550"/>
        </w:trPr>
        <w:tc>
          <w:tcPr>
            <w:tcW w:w="1668" w:type="dxa"/>
            <w:vAlign w:val="center"/>
          </w:tcPr>
          <w:p w14:paraId="4E656B98" w14:textId="77777777" w:rsidR="00924817" w:rsidRPr="003C5180" w:rsidDel="00086A22" w:rsidRDefault="008B2669" w:rsidP="00C0095D">
            <w:pPr>
              <w:pStyle w:val="Normal-nospacing"/>
              <w:spacing w:line="240" w:lineRule="auto"/>
              <w:rPr>
                <w:rFonts w:cs="Tahoma"/>
                <w:b/>
                <w:sz w:val="22"/>
                <w:szCs w:val="22"/>
              </w:rPr>
            </w:pPr>
            <w:r w:rsidRPr="003C5180">
              <w:rPr>
                <w:b/>
                <w:szCs w:val="24"/>
                <w:lang w:eastAsia="en-GB"/>
              </w:rPr>
              <w:t>Official</w:t>
            </w:r>
            <w:r w:rsidR="00924817" w:rsidRPr="003C5180">
              <w:rPr>
                <w:b/>
                <w:szCs w:val="24"/>
                <w:lang w:eastAsia="en-GB"/>
              </w:rPr>
              <w:t xml:space="preserve"> title:</w:t>
            </w:r>
            <w:r w:rsidR="00924817" w:rsidRPr="003C5180">
              <w:rPr>
                <w:rFonts w:cs="Tahoma"/>
                <w:b/>
                <w:sz w:val="22"/>
                <w:szCs w:val="22"/>
              </w:rPr>
              <w:t xml:space="preserve"> </w:t>
            </w:r>
          </w:p>
        </w:tc>
        <w:tc>
          <w:tcPr>
            <w:tcW w:w="7574" w:type="dxa"/>
            <w:vAlign w:val="center"/>
          </w:tcPr>
          <w:p w14:paraId="23DD914B" w14:textId="77777777" w:rsidR="00924817" w:rsidRPr="003C5180" w:rsidRDefault="007104C5" w:rsidP="007104C5">
            <w:pPr>
              <w:jc w:val="both"/>
              <w:rPr>
                <w:rFonts w:cs="Arial"/>
                <w:b/>
                <w:sz w:val="22"/>
                <w:szCs w:val="22"/>
              </w:rPr>
            </w:pPr>
            <w:r w:rsidRPr="003C5180">
              <w:rPr>
                <w:b/>
                <w:lang w:eastAsia="en-GB"/>
              </w:rPr>
              <w:t>B</w:t>
            </w:r>
            <w:r w:rsidRPr="003C5180">
              <w:rPr>
                <w:lang w:eastAsia="en-GB"/>
              </w:rPr>
              <w:t xml:space="preserve">abies born </w:t>
            </w:r>
            <w:r w:rsidRPr="003C5180">
              <w:rPr>
                <w:b/>
                <w:lang w:eastAsia="en-GB"/>
              </w:rPr>
              <w:t>E</w:t>
            </w:r>
            <w:r w:rsidRPr="003C5180">
              <w:rPr>
                <w:lang w:eastAsia="en-GB"/>
              </w:rPr>
              <w:t xml:space="preserve">arly </w:t>
            </w:r>
            <w:r w:rsidRPr="003C5180">
              <w:rPr>
                <w:b/>
                <w:lang w:eastAsia="en-GB"/>
              </w:rPr>
              <w:t>A</w:t>
            </w:r>
            <w:r w:rsidRPr="003C5180">
              <w:rPr>
                <w:lang w:eastAsia="en-GB"/>
              </w:rPr>
              <w:t xml:space="preserve">ntibody </w:t>
            </w:r>
            <w:r w:rsidRPr="003C5180">
              <w:rPr>
                <w:b/>
                <w:lang w:eastAsia="en-GB"/>
              </w:rPr>
              <w:t>R</w:t>
            </w:r>
            <w:r w:rsidRPr="003C5180">
              <w:rPr>
                <w:lang w:eastAsia="en-GB"/>
              </w:rPr>
              <w:t xml:space="preserve">esponse to </w:t>
            </w:r>
            <w:r w:rsidRPr="003C5180">
              <w:rPr>
                <w:b/>
                <w:lang w:eastAsia="en-GB"/>
              </w:rPr>
              <w:t>Men B</w:t>
            </w:r>
            <w:r w:rsidRPr="003C5180">
              <w:rPr>
                <w:lang w:eastAsia="en-GB"/>
              </w:rPr>
              <w:t xml:space="preserve"> vaccination: </w:t>
            </w:r>
            <w:r w:rsidRPr="003C5180">
              <w:rPr>
                <w:b/>
                <w:lang w:eastAsia="en-GB"/>
              </w:rPr>
              <w:t>BEAR MenB</w:t>
            </w:r>
          </w:p>
        </w:tc>
      </w:tr>
      <w:tr w:rsidR="001156D3" w:rsidRPr="003C5180" w14:paraId="6C9162F6" w14:textId="77777777" w:rsidTr="007104C5">
        <w:trPr>
          <w:trHeight w:val="550"/>
        </w:trPr>
        <w:tc>
          <w:tcPr>
            <w:tcW w:w="1668" w:type="dxa"/>
            <w:vAlign w:val="center"/>
          </w:tcPr>
          <w:p w14:paraId="6FBD4E80" w14:textId="77777777" w:rsidR="001156D3" w:rsidRPr="003C5180" w:rsidRDefault="008B2669" w:rsidP="00924817">
            <w:pPr>
              <w:pStyle w:val="Normal-nospacing"/>
              <w:spacing w:line="240" w:lineRule="auto"/>
              <w:rPr>
                <w:rFonts w:cs="Tahoma"/>
                <w:b/>
                <w:sz w:val="22"/>
                <w:szCs w:val="22"/>
              </w:rPr>
            </w:pPr>
            <w:r w:rsidRPr="003C5180">
              <w:rPr>
                <w:b/>
                <w:szCs w:val="24"/>
                <w:lang w:eastAsia="en-GB"/>
              </w:rPr>
              <w:t>Brief Summary</w:t>
            </w:r>
          </w:p>
        </w:tc>
        <w:tc>
          <w:tcPr>
            <w:tcW w:w="7574" w:type="dxa"/>
            <w:vAlign w:val="center"/>
          </w:tcPr>
          <w:p w14:paraId="4C798287" w14:textId="77777777" w:rsidR="008B2669" w:rsidRPr="003C5180" w:rsidRDefault="007104C5" w:rsidP="001D7EBC">
            <w:pPr>
              <w:pStyle w:val="Normal-nospacing"/>
              <w:spacing w:line="240" w:lineRule="auto"/>
              <w:rPr>
                <w:rFonts w:cs="Arial"/>
                <w:sz w:val="22"/>
                <w:szCs w:val="22"/>
              </w:rPr>
            </w:pPr>
            <w:r w:rsidRPr="003C5180">
              <w:rPr>
                <w:szCs w:val="24"/>
                <w:lang w:eastAsia="en-GB"/>
              </w:rPr>
              <w:t xml:space="preserve">A phase IV multicentre study to evaluate the primary and booster immune responses in UK preterm infants receiving routine immunisations and incorporating a randomisation study of a </w:t>
            </w:r>
            <w:r w:rsidR="001D7EBC">
              <w:rPr>
                <w:szCs w:val="24"/>
                <w:lang w:eastAsia="en-GB"/>
              </w:rPr>
              <w:t>three</w:t>
            </w:r>
            <w:r w:rsidR="001D7EBC" w:rsidRPr="003C5180">
              <w:rPr>
                <w:szCs w:val="24"/>
                <w:lang w:eastAsia="en-GB"/>
              </w:rPr>
              <w:t xml:space="preserve"> </w:t>
            </w:r>
            <w:r w:rsidRPr="003C5180">
              <w:rPr>
                <w:szCs w:val="24"/>
                <w:lang w:eastAsia="en-GB"/>
              </w:rPr>
              <w:t xml:space="preserve">dose versus a </w:t>
            </w:r>
            <w:r w:rsidR="001D7EBC">
              <w:rPr>
                <w:szCs w:val="24"/>
                <w:lang w:eastAsia="en-GB"/>
              </w:rPr>
              <w:t>two</w:t>
            </w:r>
            <w:r w:rsidR="001D7EBC" w:rsidRPr="003C5180">
              <w:rPr>
                <w:szCs w:val="24"/>
                <w:lang w:eastAsia="en-GB"/>
              </w:rPr>
              <w:t xml:space="preserve"> </w:t>
            </w:r>
            <w:r w:rsidRPr="003C5180">
              <w:rPr>
                <w:szCs w:val="24"/>
                <w:lang w:eastAsia="en-GB"/>
              </w:rPr>
              <w:t xml:space="preserve">dose schedule of </w:t>
            </w:r>
            <w:r w:rsidR="00B51670">
              <w:rPr>
                <w:szCs w:val="24"/>
                <w:lang w:eastAsia="en-GB"/>
              </w:rPr>
              <w:t>Bexsero</w:t>
            </w:r>
            <w:r w:rsidR="00B51670" w:rsidRPr="003C5180">
              <w:rPr>
                <w:lang w:eastAsia="en-GB"/>
              </w:rPr>
              <w:t>®</w:t>
            </w:r>
            <w:r w:rsidR="00B51670" w:rsidRPr="003C5180">
              <w:rPr>
                <w:szCs w:val="24"/>
                <w:lang w:eastAsia="en-GB"/>
              </w:rPr>
              <w:t xml:space="preserve"> </w:t>
            </w:r>
            <w:r w:rsidRPr="003C5180">
              <w:rPr>
                <w:szCs w:val="24"/>
                <w:lang w:eastAsia="en-GB"/>
              </w:rPr>
              <w:t>for primary immunisation.</w:t>
            </w:r>
          </w:p>
        </w:tc>
      </w:tr>
      <w:tr w:rsidR="00924817" w:rsidRPr="003C5180" w14:paraId="0AD40C1A" w14:textId="77777777" w:rsidTr="007104C5">
        <w:trPr>
          <w:trHeight w:val="550"/>
        </w:trPr>
        <w:tc>
          <w:tcPr>
            <w:tcW w:w="1668" w:type="dxa"/>
            <w:vAlign w:val="center"/>
          </w:tcPr>
          <w:p w14:paraId="208E631E" w14:textId="77777777" w:rsidR="00924817" w:rsidRPr="003C5180" w:rsidRDefault="007910CD" w:rsidP="00924817">
            <w:pPr>
              <w:pStyle w:val="Normal-nospacing"/>
              <w:spacing w:line="240" w:lineRule="auto"/>
              <w:rPr>
                <w:rFonts w:cs="Tahoma"/>
                <w:b/>
                <w:sz w:val="22"/>
                <w:szCs w:val="22"/>
              </w:rPr>
            </w:pPr>
            <w:r w:rsidRPr="003C5180">
              <w:rPr>
                <w:b/>
                <w:szCs w:val="24"/>
                <w:lang w:eastAsia="en-GB"/>
              </w:rPr>
              <w:t>Sponsor reference number:</w:t>
            </w:r>
          </w:p>
        </w:tc>
        <w:tc>
          <w:tcPr>
            <w:tcW w:w="7574" w:type="dxa"/>
            <w:vAlign w:val="center"/>
          </w:tcPr>
          <w:p w14:paraId="117D312B" w14:textId="77777777" w:rsidR="00924817" w:rsidRPr="003C5180" w:rsidRDefault="00525E6B" w:rsidP="004D598E">
            <w:pPr>
              <w:pStyle w:val="Normal-nospacing"/>
              <w:rPr>
                <w:rFonts w:cs="Tahoma"/>
                <w:sz w:val="22"/>
                <w:szCs w:val="22"/>
              </w:rPr>
            </w:pPr>
            <w:r>
              <w:rPr>
                <w:rFonts w:cs="Tahoma"/>
                <w:sz w:val="22"/>
                <w:szCs w:val="22"/>
              </w:rPr>
              <w:t>16.0247</w:t>
            </w:r>
          </w:p>
        </w:tc>
      </w:tr>
      <w:tr w:rsidR="007E48ED" w:rsidRPr="003C5180" w14:paraId="6168F126" w14:textId="77777777" w:rsidTr="007104C5">
        <w:trPr>
          <w:trHeight w:val="550"/>
        </w:trPr>
        <w:tc>
          <w:tcPr>
            <w:tcW w:w="1668" w:type="dxa"/>
            <w:vAlign w:val="center"/>
          </w:tcPr>
          <w:p w14:paraId="03E0EDE2" w14:textId="77777777" w:rsidR="007E48ED" w:rsidRPr="003C5180" w:rsidRDefault="00C04468" w:rsidP="006C5BD8">
            <w:pPr>
              <w:pStyle w:val="Normal-nospacing"/>
              <w:spacing w:line="240" w:lineRule="auto"/>
              <w:rPr>
                <w:rFonts w:cs="Tahoma"/>
                <w:b/>
                <w:sz w:val="22"/>
                <w:szCs w:val="22"/>
              </w:rPr>
            </w:pPr>
            <w:r w:rsidRPr="003C5180">
              <w:rPr>
                <w:b/>
                <w:szCs w:val="24"/>
                <w:lang w:eastAsia="en-GB"/>
              </w:rPr>
              <w:t xml:space="preserve">Public database Trial </w:t>
            </w:r>
            <w:r w:rsidR="001156D3" w:rsidRPr="003C5180">
              <w:rPr>
                <w:b/>
                <w:szCs w:val="24"/>
                <w:lang w:eastAsia="en-GB"/>
              </w:rPr>
              <w:t xml:space="preserve"> identifier</w:t>
            </w:r>
            <w:r w:rsidR="007E48ED" w:rsidRPr="003C5180">
              <w:rPr>
                <w:b/>
                <w:szCs w:val="24"/>
                <w:lang w:eastAsia="en-GB"/>
              </w:rPr>
              <w:t xml:space="preserve"> number</w:t>
            </w:r>
          </w:p>
        </w:tc>
        <w:tc>
          <w:tcPr>
            <w:tcW w:w="7574" w:type="dxa"/>
            <w:vAlign w:val="center"/>
          </w:tcPr>
          <w:p w14:paraId="50803473" w14:textId="1D086826" w:rsidR="007E48ED" w:rsidRPr="003C5180" w:rsidRDefault="0089741A" w:rsidP="00924817">
            <w:pPr>
              <w:pStyle w:val="Normal-nospacing"/>
              <w:spacing w:line="240" w:lineRule="auto"/>
              <w:rPr>
                <w:rFonts w:cs="Tahoma"/>
                <w:sz w:val="22"/>
                <w:szCs w:val="22"/>
              </w:rPr>
            </w:pPr>
            <w:r>
              <w:rPr>
                <w:rFonts w:cs="Tahoma"/>
                <w:sz w:val="22"/>
                <w:szCs w:val="22"/>
              </w:rPr>
              <w:t>ClinicalTrials. Gov</w:t>
            </w:r>
            <w:r w:rsidR="00EB48D5">
              <w:t xml:space="preserve"> </w:t>
            </w:r>
            <w:r>
              <w:t>NCT03125616</w:t>
            </w:r>
          </w:p>
        </w:tc>
      </w:tr>
      <w:tr w:rsidR="001156D3" w:rsidRPr="003C5180" w14:paraId="70C824C5" w14:textId="77777777" w:rsidTr="007104C5">
        <w:trPr>
          <w:trHeight w:val="550"/>
        </w:trPr>
        <w:tc>
          <w:tcPr>
            <w:tcW w:w="1668" w:type="dxa"/>
            <w:vAlign w:val="center"/>
          </w:tcPr>
          <w:p w14:paraId="11F822B0" w14:textId="77777777" w:rsidR="001156D3" w:rsidRPr="003C5180" w:rsidRDefault="001156D3" w:rsidP="008B2669">
            <w:pPr>
              <w:pStyle w:val="Normal-nospacing"/>
              <w:spacing w:line="240" w:lineRule="auto"/>
              <w:rPr>
                <w:rFonts w:cs="Tahoma"/>
                <w:b/>
                <w:sz w:val="22"/>
                <w:szCs w:val="22"/>
              </w:rPr>
            </w:pPr>
            <w:r w:rsidRPr="003C5180">
              <w:rPr>
                <w:b/>
                <w:szCs w:val="24"/>
                <w:lang w:eastAsia="en-GB"/>
              </w:rPr>
              <w:t xml:space="preserve">Study </w:t>
            </w:r>
            <w:r w:rsidR="008B2669" w:rsidRPr="003C5180">
              <w:rPr>
                <w:b/>
                <w:szCs w:val="24"/>
                <w:lang w:eastAsia="en-GB"/>
              </w:rPr>
              <w:t>type</w:t>
            </w:r>
            <w:r w:rsidR="00C04468" w:rsidRPr="003C5180">
              <w:rPr>
                <w:b/>
                <w:szCs w:val="24"/>
                <w:lang w:eastAsia="en-GB"/>
              </w:rPr>
              <w:t xml:space="preserve"> &amp; Phase</w:t>
            </w:r>
          </w:p>
        </w:tc>
        <w:tc>
          <w:tcPr>
            <w:tcW w:w="7574" w:type="dxa"/>
            <w:vAlign w:val="center"/>
          </w:tcPr>
          <w:p w14:paraId="77577248" w14:textId="77777777" w:rsidR="001156D3" w:rsidRPr="003C5180" w:rsidRDefault="007104C5" w:rsidP="001D7EBC">
            <w:pPr>
              <w:pStyle w:val="Normal-nospacing"/>
              <w:spacing w:line="240" w:lineRule="auto"/>
              <w:rPr>
                <w:rFonts w:cs="Tahoma"/>
                <w:sz w:val="22"/>
                <w:szCs w:val="22"/>
              </w:rPr>
            </w:pPr>
            <w:r w:rsidRPr="003C5180">
              <w:rPr>
                <w:szCs w:val="24"/>
                <w:lang w:eastAsia="en-GB"/>
              </w:rPr>
              <w:t xml:space="preserve">Phase IV randomisation study of two Men B vaccine schedules in </w:t>
            </w:r>
            <w:r w:rsidR="000A3046">
              <w:rPr>
                <w:szCs w:val="24"/>
                <w:lang w:eastAsia="en-GB"/>
              </w:rPr>
              <w:t xml:space="preserve">preterm </w:t>
            </w:r>
            <w:r w:rsidRPr="003C5180">
              <w:rPr>
                <w:szCs w:val="24"/>
                <w:lang w:eastAsia="en-GB"/>
              </w:rPr>
              <w:t>infants</w:t>
            </w:r>
          </w:p>
        </w:tc>
      </w:tr>
      <w:tr w:rsidR="001156D3" w:rsidRPr="003C5180" w14:paraId="2B1A40FC" w14:textId="77777777" w:rsidTr="007104C5">
        <w:trPr>
          <w:trHeight w:val="550"/>
        </w:trPr>
        <w:tc>
          <w:tcPr>
            <w:tcW w:w="1668" w:type="dxa"/>
            <w:vAlign w:val="center"/>
          </w:tcPr>
          <w:p w14:paraId="49379A11" w14:textId="77777777" w:rsidR="001156D3" w:rsidRPr="003C5180" w:rsidRDefault="008B2669" w:rsidP="00924817">
            <w:pPr>
              <w:pStyle w:val="Normal-nospacing"/>
              <w:spacing w:line="240" w:lineRule="auto"/>
              <w:rPr>
                <w:rFonts w:cs="Tahoma"/>
                <w:b/>
                <w:sz w:val="22"/>
                <w:szCs w:val="22"/>
              </w:rPr>
            </w:pPr>
            <w:r w:rsidRPr="003C5180">
              <w:rPr>
                <w:b/>
                <w:szCs w:val="24"/>
                <w:lang w:eastAsia="en-GB"/>
              </w:rPr>
              <w:t>Study Design</w:t>
            </w:r>
          </w:p>
        </w:tc>
        <w:tc>
          <w:tcPr>
            <w:tcW w:w="7574" w:type="dxa"/>
            <w:vAlign w:val="center"/>
          </w:tcPr>
          <w:p w14:paraId="751E6BCB" w14:textId="77777777" w:rsidR="001156D3" w:rsidRPr="003C5180" w:rsidRDefault="006B469D" w:rsidP="000A3046">
            <w:pPr>
              <w:pStyle w:val="Normal-nospacing"/>
              <w:spacing w:line="240" w:lineRule="auto"/>
              <w:rPr>
                <w:rFonts w:cs="Tahoma"/>
                <w:sz w:val="22"/>
                <w:szCs w:val="22"/>
              </w:rPr>
            </w:pPr>
            <w:r w:rsidRPr="003C5180">
              <w:rPr>
                <w:szCs w:val="24"/>
                <w:lang w:eastAsia="en-GB"/>
              </w:rPr>
              <w:t xml:space="preserve">Preterm infants will be randomised to </w:t>
            </w:r>
            <w:r w:rsidR="000A3046">
              <w:rPr>
                <w:szCs w:val="24"/>
                <w:lang w:eastAsia="en-GB"/>
              </w:rPr>
              <w:t>one</w:t>
            </w:r>
            <w:r w:rsidR="000A3046" w:rsidRPr="003C5180">
              <w:rPr>
                <w:szCs w:val="24"/>
                <w:lang w:eastAsia="en-GB"/>
              </w:rPr>
              <w:t xml:space="preserve"> </w:t>
            </w:r>
            <w:r w:rsidRPr="003C5180">
              <w:rPr>
                <w:szCs w:val="24"/>
                <w:lang w:eastAsia="en-GB"/>
              </w:rPr>
              <w:t xml:space="preserve">of </w:t>
            </w:r>
            <w:r w:rsidR="000A3046">
              <w:rPr>
                <w:szCs w:val="24"/>
                <w:lang w:eastAsia="en-GB"/>
              </w:rPr>
              <w:t>two</w:t>
            </w:r>
            <w:r w:rsidRPr="003C5180">
              <w:rPr>
                <w:szCs w:val="24"/>
                <w:lang w:eastAsia="en-GB"/>
              </w:rPr>
              <w:t xml:space="preserve"> 4CMenB schedules. Blood samples will be taken to assess vaccine responses at 5, 12 and 13 months of age and a diary card will </w:t>
            </w:r>
            <w:r w:rsidR="000C680B" w:rsidRPr="003C5180">
              <w:rPr>
                <w:szCs w:val="24"/>
                <w:lang w:eastAsia="en-GB"/>
              </w:rPr>
              <w:t>be used to assess reactogenicit</w:t>
            </w:r>
            <w:r w:rsidRPr="003C5180">
              <w:rPr>
                <w:szCs w:val="24"/>
                <w:lang w:eastAsia="en-GB"/>
              </w:rPr>
              <w:t>y of the vaccine</w:t>
            </w:r>
            <w:r w:rsidR="0015457C">
              <w:rPr>
                <w:szCs w:val="24"/>
                <w:lang w:eastAsia="en-GB"/>
              </w:rPr>
              <w:t>s</w:t>
            </w:r>
            <w:r w:rsidRPr="003C5180">
              <w:rPr>
                <w:szCs w:val="24"/>
                <w:lang w:eastAsia="en-GB"/>
              </w:rPr>
              <w:t xml:space="preserve">. </w:t>
            </w:r>
          </w:p>
        </w:tc>
      </w:tr>
      <w:tr w:rsidR="00924817" w:rsidRPr="003C5180" w14:paraId="280B9806" w14:textId="77777777" w:rsidTr="007104C5">
        <w:trPr>
          <w:trHeight w:val="550"/>
        </w:trPr>
        <w:tc>
          <w:tcPr>
            <w:tcW w:w="1668" w:type="dxa"/>
            <w:vAlign w:val="center"/>
          </w:tcPr>
          <w:p w14:paraId="293BCF4D" w14:textId="77777777" w:rsidR="00924817" w:rsidRPr="003C5180" w:rsidRDefault="00924817" w:rsidP="00924817">
            <w:pPr>
              <w:pStyle w:val="Normal-nospacing"/>
              <w:spacing w:line="240" w:lineRule="auto"/>
              <w:rPr>
                <w:rFonts w:cs="Tahoma"/>
                <w:b/>
                <w:sz w:val="22"/>
                <w:szCs w:val="22"/>
              </w:rPr>
            </w:pPr>
            <w:r w:rsidRPr="003C5180">
              <w:rPr>
                <w:b/>
                <w:szCs w:val="24"/>
                <w:lang w:eastAsia="en-GB"/>
              </w:rPr>
              <w:t>Chief Investigator:</w:t>
            </w:r>
          </w:p>
        </w:tc>
        <w:tc>
          <w:tcPr>
            <w:tcW w:w="7574" w:type="dxa"/>
            <w:vAlign w:val="center"/>
          </w:tcPr>
          <w:p w14:paraId="768C88F2" w14:textId="77777777" w:rsidR="007104C5" w:rsidRPr="003C5180" w:rsidRDefault="007104C5" w:rsidP="00DA5B03">
            <w:pPr>
              <w:pStyle w:val="Normal-nospacing"/>
              <w:spacing w:line="240" w:lineRule="auto"/>
              <w:rPr>
                <w:szCs w:val="24"/>
                <w:lang w:eastAsia="en-GB"/>
              </w:rPr>
            </w:pPr>
            <w:r w:rsidRPr="003C5180">
              <w:rPr>
                <w:szCs w:val="24"/>
                <w:lang w:eastAsia="en-GB"/>
              </w:rPr>
              <w:t>Professor Paul Heath</w:t>
            </w:r>
          </w:p>
          <w:p w14:paraId="086EB32A" w14:textId="77777777" w:rsidR="007104C5" w:rsidRPr="003C5180" w:rsidRDefault="007104C5" w:rsidP="00DA5B03">
            <w:pPr>
              <w:pStyle w:val="Normal-nospacing"/>
              <w:spacing w:line="240" w:lineRule="auto"/>
              <w:rPr>
                <w:szCs w:val="24"/>
                <w:lang w:eastAsia="en-GB"/>
              </w:rPr>
            </w:pPr>
            <w:r w:rsidRPr="003C5180">
              <w:rPr>
                <w:szCs w:val="24"/>
                <w:lang w:eastAsia="en-GB"/>
              </w:rPr>
              <w:t>Professor Paediatric Infectious Diseases</w:t>
            </w:r>
          </w:p>
          <w:p w14:paraId="19DC007E" w14:textId="77777777" w:rsidR="00924817" w:rsidRPr="003C5180" w:rsidRDefault="007104C5" w:rsidP="00DA5B03">
            <w:pPr>
              <w:pStyle w:val="Normal-nospacing"/>
              <w:spacing w:line="240" w:lineRule="auto"/>
              <w:rPr>
                <w:rFonts w:cs="Tahoma"/>
                <w:sz w:val="22"/>
                <w:szCs w:val="22"/>
              </w:rPr>
            </w:pPr>
            <w:r w:rsidRPr="003C5180">
              <w:rPr>
                <w:szCs w:val="24"/>
                <w:lang w:eastAsia="en-GB"/>
              </w:rPr>
              <w:t>St George’s, University of London</w:t>
            </w:r>
          </w:p>
        </w:tc>
      </w:tr>
      <w:tr w:rsidR="00924817" w:rsidRPr="003C5180" w14:paraId="28C8BD5B" w14:textId="77777777" w:rsidTr="007104C5">
        <w:trPr>
          <w:trHeight w:val="550"/>
        </w:trPr>
        <w:tc>
          <w:tcPr>
            <w:tcW w:w="1668" w:type="dxa"/>
            <w:vAlign w:val="center"/>
          </w:tcPr>
          <w:p w14:paraId="5FD3E523" w14:textId="77777777" w:rsidR="00924817" w:rsidRPr="003C5180" w:rsidRDefault="008B2669" w:rsidP="00924817">
            <w:pPr>
              <w:pStyle w:val="Normal-nospacing"/>
              <w:spacing w:line="240" w:lineRule="auto"/>
              <w:rPr>
                <w:rFonts w:cs="Tahoma"/>
                <w:sz w:val="22"/>
                <w:szCs w:val="22"/>
              </w:rPr>
            </w:pPr>
            <w:r w:rsidRPr="003C5180">
              <w:rPr>
                <w:b/>
                <w:szCs w:val="24"/>
                <w:lang w:eastAsia="en-GB"/>
              </w:rPr>
              <w:t>Study Population</w:t>
            </w:r>
          </w:p>
        </w:tc>
        <w:tc>
          <w:tcPr>
            <w:tcW w:w="7574" w:type="dxa"/>
            <w:vAlign w:val="center"/>
          </w:tcPr>
          <w:p w14:paraId="5F0A4A14" w14:textId="77777777" w:rsidR="00924817" w:rsidRPr="003C5180" w:rsidRDefault="006B469D" w:rsidP="00924817">
            <w:pPr>
              <w:pStyle w:val="Normal-nospacing"/>
              <w:spacing w:line="240" w:lineRule="auto"/>
              <w:rPr>
                <w:rFonts w:cs="Tahoma"/>
                <w:sz w:val="22"/>
                <w:szCs w:val="22"/>
              </w:rPr>
            </w:pPr>
            <w:r w:rsidRPr="003C5180">
              <w:rPr>
                <w:szCs w:val="24"/>
                <w:lang w:eastAsia="en-GB"/>
              </w:rPr>
              <w:t>Preterm</w:t>
            </w:r>
            <w:r w:rsidR="007104C5" w:rsidRPr="003C5180">
              <w:rPr>
                <w:szCs w:val="24"/>
                <w:lang w:eastAsia="en-GB"/>
              </w:rPr>
              <w:t xml:space="preserve"> infants born at &lt;35 weeks gestation</w:t>
            </w:r>
            <w:r w:rsidR="00A75A6F">
              <w:rPr>
                <w:szCs w:val="24"/>
                <w:lang w:eastAsia="en-GB"/>
              </w:rPr>
              <w:t xml:space="preserve"> (i.e. up to 34 weeks and 6 days)</w:t>
            </w:r>
            <w:r w:rsidR="007104C5" w:rsidRPr="003C5180">
              <w:rPr>
                <w:szCs w:val="24"/>
                <w:lang w:eastAsia="en-GB"/>
              </w:rPr>
              <w:t>, 50% &lt;30 weeks gestation</w:t>
            </w:r>
            <w:r w:rsidR="00A75A6F">
              <w:rPr>
                <w:szCs w:val="24"/>
                <w:lang w:eastAsia="en-GB"/>
              </w:rPr>
              <w:t xml:space="preserve"> (i.e. up to 29 weeks and 6 days)</w:t>
            </w:r>
          </w:p>
        </w:tc>
      </w:tr>
      <w:tr w:rsidR="008B2669" w:rsidRPr="003C5180" w14:paraId="52786136" w14:textId="77777777" w:rsidTr="007104C5">
        <w:trPr>
          <w:trHeight w:val="550"/>
        </w:trPr>
        <w:tc>
          <w:tcPr>
            <w:tcW w:w="1668" w:type="dxa"/>
            <w:vAlign w:val="center"/>
          </w:tcPr>
          <w:p w14:paraId="3815089A" w14:textId="77777777" w:rsidR="008B2669" w:rsidRPr="003C5180" w:rsidRDefault="007910CD" w:rsidP="00924817">
            <w:pPr>
              <w:pStyle w:val="Normal-nospacing"/>
              <w:spacing w:line="240" w:lineRule="auto"/>
              <w:rPr>
                <w:rFonts w:cs="Tahoma"/>
                <w:b/>
                <w:sz w:val="22"/>
                <w:szCs w:val="22"/>
              </w:rPr>
            </w:pPr>
            <w:r w:rsidRPr="003C5180">
              <w:rPr>
                <w:b/>
                <w:szCs w:val="24"/>
                <w:lang w:eastAsia="en-GB"/>
              </w:rPr>
              <w:t>Condition</w:t>
            </w:r>
          </w:p>
        </w:tc>
        <w:tc>
          <w:tcPr>
            <w:tcW w:w="7574" w:type="dxa"/>
            <w:vAlign w:val="center"/>
          </w:tcPr>
          <w:p w14:paraId="19F7CCCC" w14:textId="77777777" w:rsidR="008B2669" w:rsidRPr="003C5180" w:rsidRDefault="007104C5" w:rsidP="00924817">
            <w:pPr>
              <w:pStyle w:val="Normal-nospacing"/>
              <w:spacing w:line="240" w:lineRule="auto"/>
              <w:rPr>
                <w:rFonts w:cs="Tahoma"/>
                <w:sz w:val="22"/>
                <w:szCs w:val="22"/>
              </w:rPr>
            </w:pPr>
            <w:r w:rsidRPr="003C5180">
              <w:rPr>
                <w:szCs w:val="24"/>
                <w:lang w:eastAsia="en-GB"/>
              </w:rPr>
              <w:t>Prematurity</w:t>
            </w:r>
          </w:p>
        </w:tc>
      </w:tr>
      <w:tr w:rsidR="007910CD" w:rsidRPr="003C5180" w14:paraId="64E8C284" w14:textId="77777777" w:rsidTr="007104C5">
        <w:trPr>
          <w:trHeight w:val="550"/>
        </w:trPr>
        <w:tc>
          <w:tcPr>
            <w:tcW w:w="1668" w:type="dxa"/>
            <w:vAlign w:val="center"/>
          </w:tcPr>
          <w:p w14:paraId="6F3629CF" w14:textId="77777777" w:rsidR="007910CD" w:rsidRPr="003C5180" w:rsidRDefault="007910CD" w:rsidP="00924817">
            <w:pPr>
              <w:pStyle w:val="Normal-nospacing"/>
              <w:spacing w:line="240" w:lineRule="auto"/>
              <w:rPr>
                <w:rFonts w:cs="Tahoma"/>
                <w:b/>
                <w:sz w:val="22"/>
                <w:szCs w:val="22"/>
              </w:rPr>
            </w:pPr>
            <w:r w:rsidRPr="003C5180">
              <w:rPr>
                <w:b/>
                <w:szCs w:val="24"/>
                <w:lang w:eastAsia="en-GB"/>
              </w:rPr>
              <w:t>Study Group/cohort (s)</w:t>
            </w:r>
          </w:p>
        </w:tc>
        <w:tc>
          <w:tcPr>
            <w:tcW w:w="7574" w:type="dxa"/>
            <w:vAlign w:val="center"/>
          </w:tcPr>
          <w:p w14:paraId="0BEED833" w14:textId="77777777" w:rsidR="007910CD" w:rsidRPr="003C5180" w:rsidRDefault="000C3802" w:rsidP="000A3046">
            <w:pPr>
              <w:pStyle w:val="Normal-nospacing"/>
              <w:spacing w:line="240" w:lineRule="auto"/>
              <w:rPr>
                <w:szCs w:val="24"/>
                <w:lang w:eastAsia="en-GB"/>
              </w:rPr>
            </w:pPr>
            <w:r w:rsidRPr="003C5180">
              <w:rPr>
                <w:szCs w:val="24"/>
                <w:lang w:eastAsia="en-GB"/>
              </w:rPr>
              <w:t xml:space="preserve">Infants will be randomised to </w:t>
            </w:r>
            <w:r w:rsidR="000A3046">
              <w:rPr>
                <w:szCs w:val="24"/>
                <w:lang w:eastAsia="en-GB"/>
              </w:rPr>
              <w:t>one</w:t>
            </w:r>
            <w:r w:rsidR="000A3046" w:rsidRPr="003C5180">
              <w:rPr>
                <w:szCs w:val="24"/>
                <w:lang w:eastAsia="en-GB"/>
              </w:rPr>
              <w:t xml:space="preserve"> </w:t>
            </w:r>
            <w:r w:rsidRPr="003C5180">
              <w:rPr>
                <w:szCs w:val="24"/>
                <w:lang w:eastAsia="en-GB"/>
              </w:rPr>
              <w:t xml:space="preserve">of </w:t>
            </w:r>
            <w:r w:rsidR="000A3046">
              <w:rPr>
                <w:szCs w:val="24"/>
                <w:lang w:eastAsia="en-GB"/>
              </w:rPr>
              <w:t>two</w:t>
            </w:r>
            <w:r w:rsidRPr="003C5180">
              <w:rPr>
                <w:szCs w:val="24"/>
                <w:lang w:eastAsia="en-GB"/>
              </w:rPr>
              <w:t xml:space="preserve"> 4CMenB schedules. One group will receive </w:t>
            </w:r>
            <w:r w:rsidR="000A3046">
              <w:rPr>
                <w:szCs w:val="24"/>
                <w:lang w:eastAsia="en-GB"/>
              </w:rPr>
              <w:t xml:space="preserve">two </w:t>
            </w:r>
            <w:r w:rsidRPr="003C5180">
              <w:rPr>
                <w:szCs w:val="24"/>
                <w:lang w:eastAsia="en-GB"/>
              </w:rPr>
              <w:t>4CMenB vaccination</w:t>
            </w:r>
            <w:r w:rsidR="000A3046">
              <w:rPr>
                <w:szCs w:val="24"/>
                <w:lang w:eastAsia="en-GB"/>
              </w:rPr>
              <w:t>s, i</w:t>
            </w:r>
            <w:r w:rsidR="00327FD0">
              <w:rPr>
                <w:szCs w:val="24"/>
                <w:lang w:eastAsia="en-GB"/>
              </w:rPr>
              <w:t>.</w:t>
            </w:r>
            <w:r w:rsidR="000A3046">
              <w:rPr>
                <w:szCs w:val="24"/>
                <w:lang w:eastAsia="en-GB"/>
              </w:rPr>
              <w:t>e</w:t>
            </w:r>
            <w:r w:rsidR="00327FD0">
              <w:rPr>
                <w:szCs w:val="24"/>
                <w:lang w:eastAsia="en-GB"/>
              </w:rPr>
              <w:t>.</w:t>
            </w:r>
            <w:r w:rsidRPr="003C5180">
              <w:rPr>
                <w:szCs w:val="24"/>
                <w:lang w:eastAsia="en-GB"/>
              </w:rPr>
              <w:t xml:space="preserve"> at 8 and 16 weeks of age </w:t>
            </w:r>
            <w:r w:rsidR="000A3046">
              <w:rPr>
                <w:szCs w:val="24"/>
                <w:lang w:eastAsia="en-GB"/>
              </w:rPr>
              <w:t xml:space="preserve">as per </w:t>
            </w:r>
            <w:r w:rsidRPr="003C5180">
              <w:rPr>
                <w:szCs w:val="24"/>
                <w:lang w:eastAsia="en-GB"/>
              </w:rPr>
              <w:t>current UK schedule</w:t>
            </w:r>
            <w:r w:rsidR="000A3046">
              <w:rPr>
                <w:szCs w:val="24"/>
                <w:lang w:eastAsia="en-GB"/>
              </w:rPr>
              <w:t>,</w:t>
            </w:r>
            <w:r w:rsidR="000A3046" w:rsidRPr="003C5180">
              <w:rPr>
                <w:szCs w:val="24"/>
                <w:lang w:eastAsia="en-GB"/>
              </w:rPr>
              <w:t xml:space="preserve"> </w:t>
            </w:r>
            <w:r w:rsidRPr="003C5180">
              <w:rPr>
                <w:szCs w:val="24"/>
                <w:lang w:eastAsia="en-GB"/>
              </w:rPr>
              <w:t xml:space="preserve">while the other group will receive </w:t>
            </w:r>
            <w:r w:rsidR="000A3046">
              <w:rPr>
                <w:szCs w:val="24"/>
                <w:lang w:eastAsia="en-GB"/>
              </w:rPr>
              <w:t xml:space="preserve">three </w:t>
            </w:r>
            <w:r w:rsidRPr="003C5180">
              <w:rPr>
                <w:szCs w:val="24"/>
                <w:lang w:eastAsia="en-GB"/>
              </w:rPr>
              <w:t>4CMenB vaccination</w:t>
            </w:r>
            <w:r w:rsidR="000A3046">
              <w:rPr>
                <w:szCs w:val="24"/>
                <w:lang w:eastAsia="en-GB"/>
              </w:rPr>
              <w:t>s, i</w:t>
            </w:r>
            <w:r w:rsidR="00327FD0">
              <w:rPr>
                <w:szCs w:val="24"/>
                <w:lang w:eastAsia="en-GB"/>
              </w:rPr>
              <w:t>.</w:t>
            </w:r>
            <w:r w:rsidR="000A3046">
              <w:rPr>
                <w:szCs w:val="24"/>
                <w:lang w:eastAsia="en-GB"/>
              </w:rPr>
              <w:t>e</w:t>
            </w:r>
            <w:r w:rsidR="00327FD0">
              <w:rPr>
                <w:szCs w:val="24"/>
                <w:lang w:eastAsia="en-GB"/>
              </w:rPr>
              <w:t>.</w:t>
            </w:r>
            <w:r w:rsidRPr="003C5180">
              <w:rPr>
                <w:szCs w:val="24"/>
                <w:lang w:eastAsia="en-GB"/>
              </w:rPr>
              <w:t xml:space="preserve"> at 8, 12 and 16 weeks of age.</w:t>
            </w:r>
            <w:r w:rsidR="00DE57A6">
              <w:rPr>
                <w:szCs w:val="24"/>
                <w:lang w:eastAsia="en-GB"/>
              </w:rPr>
              <w:t xml:space="preserve"> Both groups will receive a </w:t>
            </w:r>
            <w:r w:rsidR="000A3046">
              <w:rPr>
                <w:szCs w:val="24"/>
                <w:lang w:eastAsia="en-GB"/>
              </w:rPr>
              <w:t xml:space="preserve">4CMenB </w:t>
            </w:r>
            <w:r w:rsidR="00DE57A6">
              <w:rPr>
                <w:szCs w:val="24"/>
                <w:lang w:eastAsia="en-GB"/>
              </w:rPr>
              <w:t xml:space="preserve">booster at 12 months of age. </w:t>
            </w:r>
          </w:p>
        </w:tc>
      </w:tr>
      <w:tr w:rsidR="00AC063E" w:rsidRPr="003C5180" w14:paraId="2200B951" w14:textId="77777777" w:rsidTr="007104C5">
        <w:trPr>
          <w:trHeight w:val="135"/>
        </w:trPr>
        <w:tc>
          <w:tcPr>
            <w:tcW w:w="1668" w:type="dxa"/>
            <w:vMerge w:val="restart"/>
            <w:vAlign w:val="center"/>
          </w:tcPr>
          <w:p w14:paraId="507B1F50" w14:textId="77777777" w:rsidR="00AC063E" w:rsidRPr="003C5180" w:rsidRDefault="00AC063E" w:rsidP="00924817">
            <w:pPr>
              <w:pStyle w:val="Normal-nospacing"/>
              <w:spacing w:line="240" w:lineRule="auto"/>
              <w:rPr>
                <w:szCs w:val="24"/>
                <w:lang w:eastAsia="en-GB"/>
              </w:rPr>
            </w:pPr>
            <w:r w:rsidRPr="003C5180">
              <w:rPr>
                <w:b/>
                <w:szCs w:val="24"/>
                <w:lang w:eastAsia="en-GB"/>
              </w:rPr>
              <w:t>Eligibility criteria:</w:t>
            </w:r>
          </w:p>
        </w:tc>
        <w:tc>
          <w:tcPr>
            <w:tcW w:w="7574" w:type="dxa"/>
            <w:vAlign w:val="center"/>
          </w:tcPr>
          <w:p w14:paraId="1E6D2658" w14:textId="77777777" w:rsidR="00AC063E" w:rsidRPr="003C5180" w:rsidRDefault="00AC063E" w:rsidP="00924817">
            <w:pPr>
              <w:pStyle w:val="Normal-nospacing"/>
              <w:spacing w:line="240" w:lineRule="auto"/>
              <w:rPr>
                <w:b/>
                <w:i/>
                <w:szCs w:val="24"/>
                <w:lang w:eastAsia="en-GB"/>
              </w:rPr>
            </w:pPr>
            <w:r w:rsidRPr="003C5180">
              <w:rPr>
                <w:b/>
                <w:i/>
                <w:szCs w:val="24"/>
                <w:lang w:eastAsia="en-GB"/>
              </w:rPr>
              <w:t>Inclusion criteria:</w:t>
            </w:r>
          </w:p>
          <w:p w14:paraId="5C64AF1F" w14:textId="77777777" w:rsidR="00E824D7" w:rsidRPr="003C5180" w:rsidRDefault="00E824D7" w:rsidP="00E824D7">
            <w:pPr>
              <w:pStyle w:val="Normal-nospacing"/>
              <w:numPr>
                <w:ilvl w:val="0"/>
                <w:numId w:val="28"/>
              </w:numPr>
              <w:spacing w:line="240" w:lineRule="auto"/>
              <w:rPr>
                <w:szCs w:val="24"/>
              </w:rPr>
            </w:pPr>
            <w:r w:rsidRPr="003C5180">
              <w:rPr>
                <w:szCs w:val="24"/>
              </w:rPr>
              <w:t>Premature infant born at &lt;35 weeks gestation</w:t>
            </w:r>
          </w:p>
          <w:p w14:paraId="1D9F1819" w14:textId="77777777" w:rsidR="00E824D7" w:rsidRPr="003C5180" w:rsidRDefault="00E824D7" w:rsidP="00E824D7">
            <w:pPr>
              <w:pStyle w:val="Normal-nospacing"/>
              <w:numPr>
                <w:ilvl w:val="0"/>
                <w:numId w:val="28"/>
              </w:numPr>
              <w:spacing w:line="240" w:lineRule="auto"/>
              <w:rPr>
                <w:szCs w:val="24"/>
              </w:rPr>
            </w:pPr>
            <w:r w:rsidRPr="003C5180">
              <w:rPr>
                <w:szCs w:val="24"/>
              </w:rPr>
              <w:t>No contraindications to vaccination according to the ‘Green Book’</w:t>
            </w:r>
          </w:p>
          <w:p w14:paraId="7B6C36C5" w14:textId="77777777" w:rsidR="00E824D7" w:rsidRPr="003C5180" w:rsidRDefault="00E824D7" w:rsidP="00E824D7">
            <w:pPr>
              <w:pStyle w:val="Normal-nospacing"/>
              <w:numPr>
                <w:ilvl w:val="0"/>
                <w:numId w:val="28"/>
              </w:numPr>
              <w:spacing w:line="240" w:lineRule="auto"/>
              <w:rPr>
                <w:szCs w:val="24"/>
              </w:rPr>
            </w:pPr>
            <w:r w:rsidRPr="003C5180">
              <w:rPr>
                <w:szCs w:val="24"/>
              </w:rPr>
              <w:t>Willing and able to comply with study procedures</w:t>
            </w:r>
          </w:p>
          <w:p w14:paraId="017E0C8C" w14:textId="77777777" w:rsidR="00E824D7" w:rsidRPr="003C5180" w:rsidRDefault="00E824D7" w:rsidP="00E824D7">
            <w:pPr>
              <w:pStyle w:val="Normal-nospacing"/>
              <w:numPr>
                <w:ilvl w:val="0"/>
                <w:numId w:val="28"/>
              </w:numPr>
              <w:spacing w:line="240" w:lineRule="auto"/>
              <w:rPr>
                <w:szCs w:val="24"/>
              </w:rPr>
            </w:pPr>
            <w:r w:rsidRPr="003C5180">
              <w:rPr>
                <w:szCs w:val="24"/>
              </w:rPr>
              <w:t>Written informed consent</w:t>
            </w:r>
          </w:p>
          <w:p w14:paraId="5BB3F667" w14:textId="77777777" w:rsidR="00AC063E" w:rsidRPr="003C5180" w:rsidRDefault="00AC063E" w:rsidP="007910CD">
            <w:pPr>
              <w:pStyle w:val="Normal-nospacing"/>
              <w:spacing w:line="240" w:lineRule="auto"/>
              <w:rPr>
                <w:szCs w:val="24"/>
                <w:lang w:eastAsia="en-GB"/>
              </w:rPr>
            </w:pPr>
          </w:p>
        </w:tc>
      </w:tr>
      <w:tr w:rsidR="00AC063E" w:rsidRPr="003C5180" w14:paraId="320A4FD0" w14:textId="77777777" w:rsidTr="007104C5">
        <w:trPr>
          <w:trHeight w:val="135"/>
        </w:trPr>
        <w:tc>
          <w:tcPr>
            <w:tcW w:w="1668" w:type="dxa"/>
            <w:vMerge/>
            <w:vAlign w:val="center"/>
          </w:tcPr>
          <w:p w14:paraId="10D22CF3" w14:textId="77777777" w:rsidR="00AC063E" w:rsidRPr="003C5180" w:rsidRDefault="00AC063E" w:rsidP="00924817">
            <w:pPr>
              <w:pStyle w:val="Normal-nospacing"/>
              <w:spacing w:line="240" w:lineRule="auto"/>
              <w:rPr>
                <w:rFonts w:cs="Tahoma"/>
                <w:b/>
                <w:sz w:val="22"/>
                <w:szCs w:val="22"/>
              </w:rPr>
            </w:pPr>
          </w:p>
        </w:tc>
        <w:tc>
          <w:tcPr>
            <w:tcW w:w="7574" w:type="dxa"/>
            <w:vAlign w:val="center"/>
          </w:tcPr>
          <w:p w14:paraId="6A13158E" w14:textId="77777777" w:rsidR="00AC063E" w:rsidRPr="003C5180" w:rsidRDefault="00AC063E" w:rsidP="00924817">
            <w:pPr>
              <w:pStyle w:val="Normal-nospacing"/>
              <w:spacing w:line="240" w:lineRule="auto"/>
              <w:rPr>
                <w:b/>
                <w:i/>
                <w:szCs w:val="24"/>
                <w:lang w:eastAsia="en-GB"/>
              </w:rPr>
            </w:pPr>
            <w:r w:rsidRPr="003C5180">
              <w:rPr>
                <w:b/>
                <w:i/>
                <w:szCs w:val="24"/>
                <w:lang w:eastAsia="en-GB"/>
              </w:rPr>
              <w:t>Exclusion criteria:</w:t>
            </w:r>
          </w:p>
          <w:p w14:paraId="792EDA06" w14:textId="77777777" w:rsidR="00E824D7" w:rsidRDefault="00E824D7" w:rsidP="000A3046">
            <w:pPr>
              <w:pStyle w:val="Normal-nospacing"/>
              <w:numPr>
                <w:ilvl w:val="0"/>
                <w:numId w:val="28"/>
              </w:numPr>
              <w:spacing w:line="240" w:lineRule="auto"/>
              <w:rPr>
                <w:szCs w:val="24"/>
              </w:rPr>
            </w:pPr>
            <w:r w:rsidRPr="003C5180">
              <w:rPr>
                <w:szCs w:val="24"/>
              </w:rPr>
              <w:t>Contraindication to vaccination according to the Green Book</w:t>
            </w:r>
          </w:p>
          <w:p w14:paraId="156F1889" w14:textId="77777777" w:rsidR="000A3046" w:rsidRPr="00D42BF6" w:rsidRDefault="000A3046" w:rsidP="000A3046">
            <w:pPr>
              <w:widowControl w:val="0"/>
              <w:numPr>
                <w:ilvl w:val="0"/>
                <w:numId w:val="28"/>
              </w:numPr>
              <w:autoSpaceDE w:val="0"/>
              <w:autoSpaceDN w:val="0"/>
              <w:adjustRightInd w:val="0"/>
              <w:spacing w:after="0" w:line="300" w:lineRule="exact"/>
              <w:rPr>
                <w:rFonts w:cs="Arial"/>
                <w:szCs w:val="22"/>
              </w:rPr>
            </w:pPr>
            <w:bookmarkStart w:id="13" w:name="OLE_LINK33"/>
            <w:bookmarkStart w:id="14" w:name="OLE_LINK34"/>
            <w:bookmarkStart w:id="15" w:name="OLE_LINK35"/>
            <w:bookmarkStart w:id="16" w:name="OLE_LINK36"/>
            <w:r w:rsidRPr="00D42BF6">
              <w:rPr>
                <w:rFonts w:cs="Arial"/>
                <w:szCs w:val="22"/>
              </w:rPr>
              <w:t>Life-</w:t>
            </w:r>
            <w:r>
              <w:rPr>
                <w:rFonts w:cs="Arial"/>
                <w:szCs w:val="22"/>
              </w:rPr>
              <w:t>limit</w:t>
            </w:r>
            <w:r w:rsidRPr="00D42BF6">
              <w:rPr>
                <w:rFonts w:cs="Arial"/>
                <w:szCs w:val="22"/>
              </w:rPr>
              <w:t>ing congenital abnormality</w:t>
            </w:r>
            <w:r w:rsidR="00085D22">
              <w:rPr>
                <w:rFonts w:cs="Arial"/>
                <w:szCs w:val="22"/>
              </w:rPr>
              <w:t xml:space="preserve"> or condition</w:t>
            </w:r>
            <w:r w:rsidRPr="00D42BF6">
              <w:rPr>
                <w:rFonts w:cs="Arial"/>
                <w:szCs w:val="22"/>
              </w:rPr>
              <w:t xml:space="preserve"> </w:t>
            </w:r>
          </w:p>
          <w:p w14:paraId="620CF917" w14:textId="77777777" w:rsidR="00221FD6" w:rsidRPr="003C5180" w:rsidRDefault="00050807" w:rsidP="000A3046">
            <w:pPr>
              <w:pStyle w:val="Normal-nospacing"/>
              <w:numPr>
                <w:ilvl w:val="0"/>
                <w:numId w:val="28"/>
              </w:numPr>
              <w:spacing w:line="240" w:lineRule="auto"/>
              <w:rPr>
                <w:szCs w:val="24"/>
              </w:rPr>
            </w:pPr>
            <w:bookmarkStart w:id="17" w:name="OLE_LINK12"/>
            <w:bookmarkEnd w:id="13"/>
            <w:bookmarkEnd w:id="14"/>
            <w:bookmarkEnd w:id="15"/>
            <w:bookmarkEnd w:id="16"/>
            <w:r>
              <w:rPr>
                <w:szCs w:val="24"/>
              </w:rPr>
              <w:t>Prior d</w:t>
            </w:r>
            <w:r w:rsidR="00E824D7" w:rsidRPr="003C5180">
              <w:rPr>
                <w:szCs w:val="24"/>
              </w:rPr>
              <w:t>iagnosis of an immunodeficiency syndrome</w:t>
            </w:r>
          </w:p>
          <w:bookmarkEnd w:id="17"/>
          <w:p w14:paraId="0280508F" w14:textId="77777777" w:rsidR="00AC063E" w:rsidRPr="00B254F4" w:rsidRDefault="00EF6AED" w:rsidP="00221FD6">
            <w:pPr>
              <w:pStyle w:val="Normal-nospacing"/>
              <w:numPr>
                <w:ilvl w:val="0"/>
                <w:numId w:val="28"/>
              </w:numPr>
              <w:spacing w:line="240" w:lineRule="auto"/>
              <w:rPr>
                <w:rFonts w:cs="Tahoma"/>
                <w:sz w:val="22"/>
                <w:szCs w:val="22"/>
              </w:rPr>
            </w:pPr>
            <w:r w:rsidRPr="00221FD6">
              <w:rPr>
                <w:szCs w:val="24"/>
              </w:rPr>
              <w:t>Considered unlikely to complete expected follow up until the end of the study</w:t>
            </w:r>
          </w:p>
          <w:p w14:paraId="26BCBF79" w14:textId="0F9F3B2B" w:rsidR="00C419B2" w:rsidRPr="00221FD6" w:rsidRDefault="00C419B2" w:rsidP="00221FD6">
            <w:pPr>
              <w:pStyle w:val="Normal-nospacing"/>
              <w:numPr>
                <w:ilvl w:val="0"/>
                <w:numId w:val="28"/>
              </w:numPr>
              <w:spacing w:line="240" w:lineRule="auto"/>
              <w:rPr>
                <w:rFonts w:cs="Tahoma"/>
                <w:sz w:val="22"/>
                <w:szCs w:val="22"/>
              </w:rPr>
            </w:pPr>
            <w:r>
              <w:rPr>
                <w:szCs w:val="24"/>
              </w:rPr>
              <w:t>Child in care</w:t>
            </w:r>
          </w:p>
        </w:tc>
      </w:tr>
      <w:tr w:rsidR="00924817" w:rsidRPr="003C5180" w14:paraId="08F5CD09" w14:textId="77777777" w:rsidTr="007104C5">
        <w:trPr>
          <w:trHeight w:val="580"/>
        </w:trPr>
        <w:tc>
          <w:tcPr>
            <w:tcW w:w="1668" w:type="dxa"/>
            <w:vAlign w:val="center"/>
          </w:tcPr>
          <w:p w14:paraId="50A4A3A5" w14:textId="77777777" w:rsidR="00924817" w:rsidRPr="003C5180" w:rsidRDefault="004A00AD" w:rsidP="00924817">
            <w:pPr>
              <w:pStyle w:val="Normal-nospacing"/>
              <w:spacing w:line="240" w:lineRule="auto"/>
              <w:rPr>
                <w:rFonts w:cs="Tahoma"/>
                <w:b/>
                <w:sz w:val="22"/>
                <w:szCs w:val="22"/>
              </w:rPr>
            </w:pPr>
            <w:r w:rsidRPr="003C5180">
              <w:rPr>
                <w:b/>
                <w:szCs w:val="24"/>
                <w:lang w:eastAsia="en-GB"/>
              </w:rPr>
              <w:t>Target number of participants</w:t>
            </w:r>
            <w:r w:rsidR="00924817" w:rsidRPr="003C5180">
              <w:rPr>
                <w:b/>
                <w:szCs w:val="24"/>
                <w:lang w:eastAsia="en-GB"/>
              </w:rPr>
              <w:t>:</w:t>
            </w:r>
          </w:p>
        </w:tc>
        <w:tc>
          <w:tcPr>
            <w:tcW w:w="7574" w:type="dxa"/>
            <w:vAlign w:val="center"/>
          </w:tcPr>
          <w:p w14:paraId="5726DCE9" w14:textId="77777777" w:rsidR="00924817" w:rsidRPr="003C5180" w:rsidRDefault="000C3802" w:rsidP="00924817">
            <w:pPr>
              <w:pStyle w:val="Normal-nospacing"/>
              <w:spacing w:line="240" w:lineRule="auto"/>
              <w:rPr>
                <w:rFonts w:cs="Tahoma"/>
                <w:sz w:val="22"/>
                <w:szCs w:val="22"/>
              </w:rPr>
            </w:pPr>
            <w:r w:rsidRPr="003C5180">
              <w:rPr>
                <w:szCs w:val="24"/>
                <w:lang w:eastAsia="en-GB"/>
              </w:rPr>
              <w:t>13</w:t>
            </w:r>
            <w:r w:rsidR="00333EE0" w:rsidRPr="003C5180">
              <w:rPr>
                <w:szCs w:val="24"/>
                <w:lang w:eastAsia="en-GB"/>
              </w:rPr>
              <w:t>2</w:t>
            </w:r>
          </w:p>
        </w:tc>
      </w:tr>
      <w:tr w:rsidR="007910CD" w:rsidRPr="003C5180" w14:paraId="46E7DB07" w14:textId="77777777" w:rsidTr="007104C5">
        <w:trPr>
          <w:trHeight w:val="266"/>
        </w:trPr>
        <w:tc>
          <w:tcPr>
            <w:tcW w:w="1668" w:type="dxa"/>
            <w:vMerge w:val="restart"/>
            <w:vAlign w:val="center"/>
          </w:tcPr>
          <w:p w14:paraId="58C78572" w14:textId="77777777" w:rsidR="007910CD" w:rsidRPr="003C5180" w:rsidRDefault="007910CD" w:rsidP="00924817">
            <w:pPr>
              <w:pStyle w:val="Normal-nospacing"/>
              <w:spacing w:line="240" w:lineRule="auto"/>
              <w:rPr>
                <w:rFonts w:cs="Tahoma"/>
                <w:b/>
                <w:sz w:val="22"/>
                <w:szCs w:val="22"/>
              </w:rPr>
            </w:pPr>
            <w:r w:rsidRPr="003C5180">
              <w:rPr>
                <w:b/>
                <w:szCs w:val="24"/>
                <w:lang w:eastAsia="en-GB"/>
              </w:rPr>
              <w:t>Criteria for evaluation:</w:t>
            </w:r>
          </w:p>
        </w:tc>
        <w:tc>
          <w:tcPr>
            <w:tcW w:w="7574" w:type="dxa"/>
            <w:vAlign w:val="center"/>
          </w:tcPr>
          <w:p w14:paraId="79574293" w14:textId="77777777" w:rsidR="007910CD" w:rsidRPr="003C5180" w:rsidRDefault="007910CD" w:rsidP="00924817">
            <w:pPr>
              <w:pStyle w:val="Normal-nospacing"/>
              <w:spacing w:line="240" w:lineRule="auto"/>
              <w:rPr>
                <w:b/>
                <w:i/>
                <w:szCs w:val="24"/>
                <w:lang w:eastAsia="en-GB"/>
              </w:rPr>
            </w:pPr>
            <w:r w:rsidRPr="003C5180">
              <w:rPr>
                <w:b/>
                <w:i/>
                <w:szCs w:val="24"/>
                <w:lang w:eastAsia="en-GB"/>
              </w:rPr>
              <w:t xml:space="preserve">Primary outcome measure(s): </w:t>
            </w:r>
          </w:p>
          <w:p w14:paraId="23A1EB47" w14:textId="77777777" w:rsidR="000C3802" w:rsidRPr="003C5180" w:rsidRDefault="000C3802" w:rsidP="00DE7685">
            <w:pPr>
              <w:pStyle w:val="LightGrid-Accent31"/>
              <w:widowControl w:val="0"/>
              <w:numPr>
                <w:ilvl w:val="0"/>
                <w:numId w:val="22"/>
              </w:numPr>
              <w:tabs>
                <w:tab w:val="left" w:pos="426"/>
              </w:tabs>
              <w:autoSpaceDE w:val="0"/>
              <w:autoSpaceDN w:val="0"/>
              <w:adjustRightInd w:val="0"/>
              <w:spacing w:after="0" w:line="240" w:lineRule="auto"/>
              <w:ind w:left="426" w:firstLine="33"/>
              <w:rPr>
                <w:lang w:eastAsia="en-GB"/>
              </w:rPr>
            </w:pPr>
            <w:r w:rsidRPr="003C5180">
              <w:rPr>
                <w:lang w:eastAsia="en-GB"/>
              </w:rPr>
              <w:t>hSBA GMT</w:t>
            </w:r>
            <w:r w:rsidR="0015457C">
              <w:rPr>
                <w:lang w:eastAsia="en-GB"/>
              </w:rPr>
              <w:t>s</w:t>
            </w:r>
            <w:r w:rsidRPr="003C5180">
              <w:rPr>
                <w:lang w:eastAsia="en-GB"/>
              </w:rPr>
              <w:t xml:space="preserve"> </w:t>
            </w:r>
            <w:r w:rsidR="00644B4C">
              <w:rPr>
                <w:lang w:eastAsia="en-GB"/>
              </w:rPr>
              <w:t>1</w:t>
            </w:r>
            <w:r w:rsidR="00644B4C" w:rsidRPr="003C5180">
              <w:rPr>
                <w:lang w:eastAsia="en-GB"/>
              </w:rPr>
              <w:t xml:space="preserve"> </w:t>
            </w:r>
            <w:r w:rsidRPr="003C5180">
              <w:rPr>
                <w:lang w:eastAsia="en-GB"/>
              </w:rPr>
              <w:t xml:space="preserve">month after </w:t>
            </w:r>
            <w:r w:rsidR="00644B4C" w:rsidRPr="003C5180">
              <w:rPr>
                <w:lang w:eastAsia="en-GB"/>
              </w:rPr>
              <w:t>completi</w:t>
            </w:r>
            <w:r w:rsidR="00644B4C">
              <w:rPr>
                <w:lang w:eastAsia="en-GB"/>
              </w:rPr>
              <w:t>on of</w:t>
            </w:r>
            <w:r w:rsidR="00644B4C" w:rsidRPr="003C5180">
              <w:rPr>
                <w:lang w:eastAsia="en-GB"/>
              </w:rPr>
              <w:t xml:space="preserve"> </w:t>
            </w:r>
            <w:r w:rsidRPr="003C5180">
              <w:rPr>
                <w:lang w:eastAsia="en-GB"/>
              </w:rPr>
              <w:t xml:space="preserve">primary immunisations for relevant </w:t>
            </w:r>
            <w:r w:rsidR="00B51670">
              <w:rPr>
                <w:lang w:eastAsia="en-GB"/>
              </w:rPr>
              <w:t>Bexsero</w:t>
            </w:r>
            <w:r w:rsidR="00B51670" w:rsidRPr="003C5180">
              <w:rPr>
                <w:lang w:eastAsia="en-GB"/>
              </w:rPr>
              <w:t xml:space="preserve">® </w:t>
            </w:r>
            <w:r w:rsidRPr="003C5180">
              <w:rPr>
                <w:lang w:eastAsia="en-GB"/>
              </w:rPr>
              <w:t>antigens: fHbp, NadA and PorA </w:t>
            </w:r>
          </w:p>
          <w:p w14:paraId="15CBCF99" w14:textId="77777777" w:rsidR="007910CD" w:rsidRPr="003C5180" w:rsidRDefault="00637B97" w:rsidP="00EA3B12">
            <w:pPr>
              <w:pStyle w:val="LightGrid-Accent31"/>
              <w:widowControl w:val="0"/>
              <w:numPr>
                <w:ilvl w:val="0"/>
                <w:numId w:val="22"/>
              </w:numPr>
              <w:tabs>
                <w:tab w:val="left" w:pos="426"/>
              </w:tabs>
              <w:autoSpaceDE w:val="0"/>
              <w:autoSpaceDN w:val="0"/>
              <w:adjustRightInd w:val="0"/>
              <w:spacing w:after="0" w:line="240" w:lineRule="auto"/>
              <w:ind w:left="426" w:firstLine="33"/>
              <w:rPr>
                <w:rFonts w:cs="Arial"/>
                <w:sz w:val="22"/>
                <w:szCs w:val="22"/>
              </w:rPr>
            </w:pPr>
            <w:r>
              <w:rPr>
                <w:lang w:eastAsia="en-GB"/>
              </w:rPr>
              <w:t xml:space="preserve"> </w:t>
            </w:r>
            <w:r w:rsidR="000C3802" w:rsidRPr="003C5180">
              <w:rPr>
                <w:lang w:eastAsia="en-GB"/>
              </w:rPr>
              <w:t xml:space="preserve">hSBA proportions </w:t>
            </w:r>
            <w:r w:rsidR="00E824D7">
              <w:rPr>
                <w:lang w:eastAsia="en-GB"/>
              </w:rPr>
              <w:t>≥</w:t>
            </w:r>
            <w:r w:rsidR="000C3802" w:rsidRPr="003C5180">
              <w:rPr>
                <w:lang w:eastAsia="en-GB"/>
              </w:rPr>
              <w:t xml:space="preserve">1:4, </w:t>
            </w:r>
            <w:r w:rsidR="00644B4C">
              <w:rPr>
                <w:lang w:eastAsia="en-GB"/>
              </w:rPr>
              <w:t>at 1</w:t>
            </w:r>
            <w:r w:rsidR="00644B4C" w:rsidRPr="003C5180">
              <w:rPr>
                <w:lang w:eastAsia="en-GB"/>
              </w:rPr>
              <w:t xml:space="preserve"> </w:t>
            </w:r>
            <w:r w:rsidR="000C3802" w:rsidRPr="003C5180">
              <w:rPr>
                <w:lang w:eastAsia="en-GB"/>
              </w:rPr>
              <w:t>month after completi</w:t>
            </w:r>
            <w:r w:rsidR="00644B4C">
              <w:rPr>
                <w:lang w:eastAsia="en-GB"/>
              </w:rPr>
              <w:t>on of</w:t>
            </w:r>
            <w:r w:rsidR="000C3802" w:rsidRPr="003C5180">
              <w:rPr>
                <w:lang w:eastAsia="en-GB"/>
              </w:rPr>
              <w:t xml:space="preserve"> primary immunisations for relevant </w:t>
            </w:r>
            <w:r w:rsidR="00B51670">
              <w:rPr>
                <w:lang w:eastAsia="en-GB"/>
              </w:rPr>
              <w:t>Bexsero®</w:t>
            </w:r>
            <w:r w:rsidR="000C3802" w:rsidRPr="003C5180">
              <w:rPr>
                <w:lang w:eastAsia="en-GB"/>
              </w:rPr>
              <w:t xml:space="preserve"> antigens: fHbp, NadA and PorA.</w:t>
            </w:r>
            <w:r w:rsidR="000C3802" w:rsidRPr="003C5180">
              <w:rPr>
                <w:rFonts w:cs="Arial"/>
                <w:sz w:val="22"/>
                <w:szCs w:val="22"/>
              </w:rPr>
              <w:t xml:space="preserve">  </w:t>
            </w:r>
          </w:p>
        </w:tc>
      </w:tr>
      <w:tr w:rsidR="00DE7685" w:rsidRPr="003C5180" w14:paraId="45A21FA9" w14:textId="77777777" w:rsidTr="009E2E2D">
        <w:trPr>
          <w:trHeight w:val="4486"/>
        </w:trPr>
        <w:tc>
          <w:tcPr>
            <w:tcW w:w="1668" w:type="dxa"/>
            <w:vMerge/>
            <w:vAlign w:val="center"/>
          </w:tcPr>
          <w:p w14:paraId="47CA6918" w14:textId="77777777" w:rsidR="00DE7685" w:rsidRPr="003C5180" w:rsidRDefault="00DE7685" w:rsidP="00924817">
            <w:pPr>
              <w:pStyle w:val="Normal-nospacing"/>
              <w:spacing w:line="240" w:lineRule="auto"/>
              <w:rPr>
                <w:rFonts w:cs="Tahoma"/>
                <w:b/>
                <w:sz w:val="22"/>
                <w:szCs w:val="22"/>
              </w:rPr>
            </w:pPr>
          </w:p>
        </w:tc>
        <w:tc>
          <w:tcPr>
            <w:tcW w:w="7574" w:type="dxa"/>
            <w:vAlign w:val="center"/>
          </w:tcPr>
          <w:p w14:paraId="3B2E977C" w14:textId="77777777" w:rsidR="00DE7685" w:rsidRPr="003C5180" w:rsidRDefault="00DE7685" w:rsidP="00C04468">
            <w:pPr>
              <w:pStyle w:val="Normal-nospacing"/>
              <w:spacing w:line="240" w:lineRule="auto"/>
              <w:rPr>
                <w:b/>
                <w:i/>
                <w:szCs w:val="24"/>
                <w:lang w:eastAsia="en-GB"/>
              </w:rPr>
            </w:pPr>
            <w:r w:rsidRPr="003C5180">
              <w:rPr>
                <w:b/>
                <w:i/>
                <w:szCs w:val="24"/>
                <w:lang w:eastAsia="en-GB"/>
              </w:rPr>
              <w:t xml:space="preserve">Secondary outcome measure(s): </w:t>
            </w:r>
          </w:p>
          <w:p w14:paraId="05763AC1"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(i) The percentage of infants</w:t>
            </w:r>
            <w:r w:rsidR="00050807">
              <w:rPr>
                <w:lang w:eastAsia="en-GB"/>
              </w:rPr>
              <w:t xml:space="preserve"> presenting with</w:t>
            </w:r>
            <w:r w:rsidRPr="003C5180">
              <w:rPr>
                <w:lang w:eastAsia="en-GB"/>
              </w:rPr>
              <w:t xml:space="preserve"> fever, local reactions and non-febrile systemic reactions within the 7 days following each </w:t>
            </w:r>
            <w:r w:rsidR="00B51670">
              <w:rPr>
                <w:lang w:eastAsia="en-GB"/>
              </w:rPr>
              <w:t>Bexsero®</w:t>
            </w:r>
            <w:r w:rsidR="00644B4C" w:rsidRPr="00644B4C">
              <w:rPr>
                <w:lang w:eastAsia="en-GB"/>
              </w:rPr>
              <w:t xml:space="preserve"> </w:t>
            </w:r>
            <w:r w:rsidRPr="003C5180">
              <w:rPr>
                <w:lang w:eastAsia="en-GB"/>
              </w:rPr>
              <w:t>vaccine dose; </w:t>
            </w:r>
          </w:p>
          <w:p w14:paraId="23B8B543"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 xml:space="preserve">(ii)The percentage of inpatients </w:t>
            </w:r>
            <w:r w:rsidR="00050807">
              <w:rPr>
                <w:lang w:eastAsia="en-GB"/>
              </w:rPr>
              <w:t>who have a</w:t>
            </w:r>
            <w:r w:rsidR="00050807" w:rsidRPr="003C5180">
              <w:rPr>
                <w:lang w:eastAsia="en-GB"/>
              </w:rPr>
              <w:t xml:space="preserve"> </w:t>
            </w:r>
            <w:r w:rsidRPr="003C5180">
              <w:rPr>
                <w:lang w:eastAsia="en-GB"/>
              </w:rPr>
              <w:t xml:space="preserve">change/deterioration in  cardiorespiratory status within the </w:t>
            </w:r>
            <w:r w:rsidR="00E51443">
              <w:rPr>
                <w:lang w:eastAsia="en-GB"/>
              </w:rPr>
              <w:t>72</w:t>
            </w:r>
            <w:r w:rsidR="00637B97" w:rsidRPr="003C5180">
              <w:rPr>
                <w:lang w:eastAsia="en-GB"/>
              </w:rPr>
              <w:t xml:space="preserve"> </w:t>
            </w:r>
            <w:r w:rsidRPr="003C5180">
              <w:rPr>
                <w:lang w:eastAsia="en-GB"/>
              </w:rPr>
              <w:t xml:space="preserve">hours following each </w:t>
            </w:r>
            <w:r w:rsidR="00B51670">
              <w:rPr>
                <w:lang w:eastAsia="en-GB"/>
              </w:rPr>
              <w:t>Bexsero®</w:t>
            </w:r>
            <w:r w:rsidR="00644B4C" w:rsidRPr="003C5180">
              <w:rPr>
                <w:lang w:eastAsia="en-GB"/>
              </w:rPr>
              <w:t xml:space="preserve"> </w:t>
            </w:r>
            <w:r w:rsidRPr="003C5180">
              <w:rPr>
                <w:lang w:eastAsia="en-GB"/>
              </w:rPr>
              <w:t>vaccine dose; </w:t>
            </w:r>
          </w:p>
          <w:p w14:paraId="000E9932"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 xml:space="preserve">(iii)The percentage of infants investigated for sepsis and commenced on antibiotics within 7 days of </w:t>
            </w:r>
            <w:r w:rsidR="00B51670">
              <w:rPr>
                <w:lang w:eastAsia="en-GB"/>
              </w:rPr>
              <w:t>Bexsero®</w:t>
            </w:r>
            <w:r w:rsidR="00644B4C" w:rsidRPr="003C5180">
              <w:rPr>
                <w:lang w:eastAsia="en-GB"/>
              </w:rPr>
              <w:t xml:space="preserve"> </w:t>
            </w:r>
            <w:r w:rsidRPr="003C5180">
              <w:rPr>
                <w:lang w:eastAsia="en-GB"/>
              </w:rPr>
              <w:t>vaccination;</w:t>
            </w:r>
          </w:p>
          <w:p w14:paraId="4B17BC13"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 xml:space="preserve">(iv) hSBA GMTs at 12 months of </w:t>
            </w:r>
            <w:r w:rsidR="00050807">
              <w:rPr>
                <w:lang w:eastAsia="en-GB"/>
              </w:rPr>
              <w:t xml:space="preserve">chronological </w:t>
            </w:r>
            <w:r w:rsidRPr="003C5180">
              <w:rPr>
                <w:lang w:eastAsia="en-GB"/>
              </w:rPr>
              <w:t xml:space="preserve">age (pre booster) for relevant </w:t>
            </w:r>
            <w:r w:rsidR="00B51670">
              <w:rPr>
                <w:lang w:eastAsia="en-GB"/>
              </w:rPr>
              <w:t>Bexsero®</w:t>
            </w:r>
            <w:r w:rsidRPr="003C5180">
              <w:rPr>
                <w:lang w:eastAsia="en-GB"/>
              </w:rPr>
              <w:t xml:space="preserve"> antigens: fHbp, NadA and PorA;  </w:t>
            </w:r>
          </w:p>
          <w:p w14:paraId="6897057C"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 xml:space="preserve">(v) hSBA proportions </w:t>
            </w:r>
            <w:r w:rsidR="00E824D7">
              <w:rPr>
                <w:lang w:eastAsia="en-GB"/>
              </w:rPr>
              <w:t>≥</w:t>
            </w:r>
            <w:r w:rsidRPr="003C5180">
              <w:rPr>
                <w:lang w:eastAsia="en-GB"/>
              </w:rPr>
              <w:t xml:space="preserve">1:4, at 12 months of </w:t>
            </w:r>
            <w:r w:rsidR="00050807">
              <w:rPr>
                <w:lang w:eastAsia="en-GB"/>
              </w:rPr>
              <w:t xml:space="preserve">chronological </w:t>
            </w:r>
            <w:r w:rsidRPr="003C5180">
              <w:rPr>
                <w:lang w:eastAsia="en-GB"/>
              </w:rPr>
              <w:t xml:space="preserve">age (pre booster) for relevant </w:t>
            </w:r>
            <w:r w:rsidR="00B51670">
              <w:rPr>
                <w:lang w:eastAsia="en-GB"/>
              </w:rPr>
              <w:t>Bexsero®</w:t>
            </w:r>
            <w:r w:rsidRPr="003C5180">
              <w:rPr>
                <w:lang w:eastAsia="en-GB"/>
              </w:rPr>
              <w:t xml:space="preserve"> antigens: fHbp, NadA and PorA; </w:t>
            </w:r>
          </w:p>
          <w:p w14:paraId="04BA52B2"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 xml:space="preserve">(vi) hSBA GMTs at 13 months of </w:t>
            </w:r>
            <w:r w:rsidR="00050807">
              <w:rPr>
                <w:lang w:eastAsia="en-GB"/>
              </w:rPr>
              <w:t xml:space="preserve">chronological </w:t>
            </w:r>
            <w:r w:rsidRPr="003C5180">
              <w:rPr>
                <w:lang w:eastAsia="en-GB"/>
              </w:rPr>
              <w:t>age (</w:t>
            </w:r>
            <w:r w:rsidR="00A9397D">
              <w:rPr>
                <w:lang w:eastAsia="en-GB"/>
              </w:rPr>
              <w:t xml:space="preserve">4-6 weeks </w:t>
            </w:r>
            <w:r w:rsidRPr="003C5180">
              <w:rPr>
                <w:lang w:eastAsia="en-GB"/>
              </w:rPr>
              <w:t xml:space="preserve">post booster) for relevant </w:t>
            </w:r>
            <w:r w:rsidR="00B51670">
              <w:rPr>
                <w:lang w:eastAsia="en-GB"/>
              </w:rPr>
              <w:t>Bexsero®</w:t>
            </w:r>
            <w:r w:rsidRPr="003C5180">
              <w:rPr>
                <w:lang w:eastAsia="en-GB"/>
              </w:rPr>
              <w:t xml:space="preserve"> antigens: fHbp, NadA and PorA;  </w:t>
            </w:r>
          </w:p>
          <w:p w14:paraId="7B0338AC" w14:textId="77777777" w:rsidR="00DE7685" w:rsidRPr="003C5180" w:rsidRDefault="00DE7685" w:rsidP="00DE7685">
            <w:pPr>
              <w:pStyle w:val="LightGrid-Accent31"/>
              <w:widowControl w:val="0"/>
              <w:tabs>
                <w:tab w:val="left" w:pos="426"/>
              </w:tabs>
              <w:autoSpaceDE w:val="0"/>
              <w:autoSpaceDN w:val="0"/>
              <w:adjustRightInd w:val="0"/>
              <w:spacing w:after="0" w:line="240" w:lineRule="auto"/>
              <w:ind w:left="426"/>
              <w:rPr>
                <w:lang w:eastAsia="en-GB"/>
              </w:rPr>
            </w:pPr>
            <w:r w:rsidRPr="003C5180">
              <w:rPr>
                <w:lang w:eastAsia="en-GB"/>
              </w:rPr>
              <w:t>(vii) hSBA proportions</w:t>
            </w:r>
            <w:r w:rsidR="00D43E33">
              <w:rPr>
                <w:lang w:eastAsia="en-GB"/>
              </w:rPr>
              <w:t xml:space="preserve"> </w:t>
            </w:r>
            <w:r w:rsidR="00E824D7">
              <w:rPr>
                <w:lang w:eastAsia="en-GB"/>
              </w:rPr>
              <w:t>≥</w:t>
            </w:r>
            <w:r w:rsidRPr="003C5180">
              <w:rPr>
                <w:lang w:eastAsia="en-GB"/>
              </w:rPr>
              <w:t xml:space="preserve">1:4, at 13 months of age (post booster) for relevant </w:t>
            </w:r>
            <w:r w:rsidR="00B51670">
              <w:rPr>
                <w:lang w:eastAsia="en-GB"/>
              </w:rPr>
              <w:t>Bexsero®</w:t>
            </w:r>
            <w:r w:rsidRPr="003C5180">
              <w:rPr>
                <w:lang w:eastAsia="en-GB"/>
              </w:rPr>
              <w:t xml:space="preserve"> antigens: fHbp, NadA and </w:t>
            </w:r>
            <w:bookmarkStart w:id="18" w:name="OLE_LINK15"/>
            <w:bookmarkStart w:id="19" w:name="OLE_LINK16"/>
            <w:r w:rsidRPr="003C5180">
              <w:rPr>
                <w:lang w:eastAsia="en-GB"/>
              </w:rPr>
              <w:t>PorA</w:t>
            </w:r>
            <w:bookmarkEnd w:id="18"/>
            <w:bookmarkEnd w:id="19"/>
            <w:r w:rsidRPr="003C5180">
              <w:rPr>
                <w:lang w:eastAsia="en-GB"/>
              </w:rPr>
              <w:t>.</w:t>
            </w:r>
          </w:p>
        </w:tc>
      </w:tr>
      <w:tr w:rsidR="004A00AD" w:rsidRPr="003C5180" w14:paraId="3838DBED" w14:textId="77777777" w:rsidTr="007104C5">
        <w:trPr>
          <w:trHeight w:val="265"/>
        </w:trPr>
        <w:tc>
          <w:tcPr>
            <w:tcW w:w="1668" w:type="dxa"/>
            <w:vAlign w:val="center"/>
          </w:tcPr>
          <w:p w14:paraId="77A575ED" w14:textId="77777777" w:rsidR="004A00AD" w:rsidRPr="003C5180" w:rsidRDefault="004A00AD" w:rsidP="00924817">
            <w:pPr>
              <w:pStyle w:val="Normal-nospacing"/>
              <w:spacing w:line="240" w:lineRule="auto"/>
              <w:rPr>
                <w:rFonts w:cs="Tahoma"/>
                <w:b/>
                <w:sz w:val="22"/>
                <w:szCs w:val="22"/>
              </w:rPr>
            </w:pPr>
            <w:r w:rsidRPr="003C5180">
              <w:rPr>
                <w:b/>
                <w:szCs w:val="24"/>
                <w:lang w:eastAsia="en-GB"/>
              </w:rPr>
              <w:t>Sources of funding:</w:t>
            </w:r>
          </w:p>
        </w:tc>
        <w:tc>
          <w:tcPr>
            <w:tcW w:w="7574" w:type="dxa"/>
            <w:vAlign w:val="center"/>
          </w:tcPr>
          <w:p w14:paraId="21A9F5A4" w14:textId="77777777" w:rsidR="004A00AD" w:rsidRPr="003C5180" w:rsidRDefault="000C3802" w:rsidP="00924817">
            <w:pPr>
              <w:pStyle w:val="Normal-nospacing"/>
              <w:spacing w:line="240" w:lineRule="auto"/>
              <w:rPr>
                <w:szCs w:val="24"/>
                <w:lang w:eastAsia="en-GB"/>
              </w:rPr>
            </w:pPr>
            <w:r w:rsidRPr="003C5180">
              <w:rPr>
                <w:szCs w:val="24"/>
                <w:lang w:eastAsia="en-GB"/>
              </w:rPr>
              <w:t xml:space="preserve">Meningitis Now </w:t>
            </w:r>
          </w:p>
          <w:p w14:paraId="104167D4" w14:textId="77777777" w:rsidR="000C3802" w:rsidRPr="003C5180" w:rsidRDefault="000C3802" w:rsidP="00924817">
            <w:pPr>
              <w:pStyle w:val="Normal-nospacing"/>
              <w:spacing w:line="240" w:lineRule="auto"/>
              <w:rPr>
                <w:rFonts w:cs="Tahoma"/>
                <w:b/>
                <w:i/>
                <w:sz w:val="22"/>
                <w:szCs w:val="22"/>
              </w:rPr>
            </w:pPr>
            <w:r w:rsidRPr="003C5180">
              <w:rPr>
                <w:szCs w:val="24"/>
                <w:lang w:eastAsia="en-GB"/>
              </w:rPr>
              <w:t xml:space="preserve">GSK </w:t>
            </w:r>
          </w:p>
        </w:tc>
      </w:tr>
      <w:tr w:rsidR="004A00AD" w:rsidRPr="003C5180" w14:paraId="7CC27894" w14:textId="77777777" w:rsidTr="007104C5">
        <w:trPr>
          <w:trHeight w:val="265"/>
        </w:trPr>
        <w:tc>
          <w:tcPr>
            <w:tcW w:w="1668" w:type="dxa"/>
            <w:vAlign w:val="center"/>
          </w:tcPr>
          <w:p w14:paraId="7859D781" w14:textId="77777777" w:rsidR="004A00AD" w:rsidRPr="003C5180" w:rsidRDefault="004A00AD" w:rsidP="00924817">
            <w:pPr>
              <w:pStyle w:val="Normal-nospacing"/>
              <w:spacing w:line="240" w:lineRule="auto"/>
              <w:rPr>
                <w:rFonts w:cs="Tahoma"/>
                <w:b/>
                <w:sz w:val="22"/>
                <w:szCs w:val="22"/>
              </w:rPr>
            </w:pPr>
            <w:r w:rsidRPr="003C5180">
              <w:rPr>
                <w:b/>
                <w:szCs w:val="24"/>
                <w:lang w:eastAsia="en-GB"/>
              </w:rPr>
              <w:t>Anticipated start date:</w:t>
            </w:r>
          </w:p>
        </w:tc>
        <w:tc>
          <w:tcPr>
            <w:tcW w:w="7574" w:type="dxa"/>
            <w:vAlign w:val="center"/>
          </w:tcPr>
          <w:p w14:paraId="29AD69D9" w14:textId="77777777" w:rsidR="004A00AD" w:rsidRPr="003C5180" w:rsidRDefault="00327FD0" w:rsidP="00DE7685">
            <w:pPr>
              <w:pStyle w:val="LightGrid-Accent31"/>
              <w:widowControl w:val="0"/>
              <w:tabs>
                <w:tab w:val="left" w:pos="426"/>
              </w:tabs>
              <w:autoSpaceDE w:val="0"/>
              <w:autoSpaceDN w:val="0"/>
              <w:adjustRightInd w:val="0"/>
              <w:spacing w:after="0" w:line="240" w:lineRule="auto"/>
              <w:ind w:left="0"/>
              <w:rPr>
                <w:rFonts w:cs="Tahoma"/>
                <w:sz w:val="22"/>
                <w:szCs w:val="22"/>
              </w:rPr>
            </w:pPr>
            <w:r>
              <w:rPr>
                <w:lang w:eastAsia="en-GB"/>
              </w:rPr>
              <w:t>June</w:t>
            </w:r>
            <w:r w:rsidR="00BF4CA9">
              <w:rPr>
                <w:lang w:eastAsia="en-GB"/>
              </w:rPr>
              <w:t xml:space="preserve"> </w:t>
            </w:r>
            <w:r w:rsidR="000C3802" w:rsidRPr="003C5180">
              <w:rPr>
                <w:lang w:eastAsia="en-GB"/>
              </w:rPr>
              <w:t>2017</w:t>
            </w:r>
          </w:p>
        </w:tc>
      </w:tr>
      <w:tr w:rsidR="004A00AD" w:rsidRPr="003C5180" w14:paraId="6B838FB0" w14:textId="77777777" w:rsidTr="007104C5">
        <w:trPr>
          <w:trHeight w:val="265"/>
        </w:trPr>
        <w:tc>
          <w:tcPr>
            <w:tcW w:w="1668" w:type="dxa"/>
            <w:vAlign w:val="center"/>
          </w:tcPr>
          <w:p w14:paraId="4B98C24C" w14:textId="77777777" w:rsidR="004A00AD" w:rsidRPr="003C5180" w:rsidRDefault="004A00AD" w:rsidP="00DE7685">
            <w:pPr>
              <w:pStyle w:val="LightGrid-Accent31"/>
              <w:widowControl w:val="0"/>
              <w:tabs>
                <w:tab w:val="left" w:pos="426"/>
              </w:tabs>
              <w:autoSpaceDE w:val="0"/>
              <w:autoSpaceDN w:val="0"/>
              <w:adjustRightInd w:val="0"/>
              <w:spacing w:after="0" w:line="240" w:lineRule="auto"/>
              <w:ind w:left="0"/>
              <w:rPr>
                <w:b/>
                <w:lang w:eastAsia="en-GB"/>
              </w:rPr>
            </w:pPr>
            <w:r w:rsidRPr="003C5180">
              <w:rPr>
                <w:b/>
                <w:lang w:eastAsia="en-GB"/>
              </w:rPr>
              <w:t xml:space="preserve">Anticipated </w:t>
            </w:r>
            <w:r w:rsidR="007910CD" w:rsidRPr="003C5180">
              <w:rPr>
                <w:b/>
                <w:lang w:eastAsia="en-GB"/>
              </w:rPr>
              <w:t>primary completion date</w:t>
            </w:r>
            <w:r w:rsidRPr="003C5180">
              <w:rPr>
                <w:b/>
                <w:lang w:eastAsia="en-GB"/>
              </w:rPr>
              <w:t>:</w:t>
            </w:r>
          </w:p>
        </w:tc>
        <w:tc>
          <w:tcPr>
            <w:tcW w:w="7574" w:type="dxa"/>
            <w:vAlign w:val="center"/>
          </w:tcPr>
          <w:p w14:paraId="3E62B341" w14:textId="73C8D123" w:rsidR="004A00AD" w:rsidRPr="003C5180" w:rsidRDefault="00423DCE" w:rsidP="00DE7685">
            <w:pPr>
              <w:pStyle w:val="LightGrid-Accent31"/>
              <w:widowControl w:val="0"/>
              <w:tabs>
                <w:tab w:val="left" w:pos="426"/>
              </w:tabs>
              <w:autoSpaceDE w:val="0"/>
              <w:autoSpaceDN w:val="0"/>
              <w:adjustRightInd w:val="0"/>
              <w:spacing w:after="0" w:line="240" w:lineRule="auto"/>
              <w:ind w:left="0"/>
              <w:rPr>
                <w:lang w:eastAsia="en-GB"/>
              </w:rPr>
            </w:pPr>
            <w:r>
              <w:rPr>
                <w:lang w:eastAsia="en-GB"/>
              </w:rPr>
              <w:t>March 2020</w:t>
            </w:r>
          </w:p>
        </w:tc>
      </w:tr>
      <w:tr w:rsidR="007910CD" w:rsidRPr="003C5180" w14:paraId="436F1BCB" w14:textId="77777777" w:rsidTr="007104C5">
        <w:trPr>
          <w:trHeight w:val="265"/>
        </w:trPr>
        <w:tc>
          <w:tcPr>
            <w:tcW w:w="1668" w:type="dxa"/>
            <w:vAlign w:val="center"/>
          </w:tcPr>
          <w:p w14:paraId="312C534A" w14:textId="77777777" w:rsidR="007910CD" w:rsidRPr="003C5180" w:rsidRDefault="007910CD" w:rsidP="00050807">
            <w:pPr>
              <w:pStyle w:val="Normal-nospacing"/>
              <w:spacing w:line="240" w:lineRule="auto"/>
              <w:rPr>
                <w:rFonts w:cs="Tahoma"/>
                <w:b/>
                <w:sz w:val="22"/>
                <w:szCs w:val="22"/>
              </w:rPr>
            </w:pPr>
            <w:r w:rsidRPr="003C5180">
              <w:rPr>
                <w:b/>
                <w:szCs w:val="24"/>
                <w:lang w:eastAsia="en-GB"/>
              </w:rPr>
              <w:t>Sponsor</w:t>
            </w:r>
          </w:p>
        </w:tc>
        <w:tc>
          <w:tcPr>
            <w:tcW w:w="7574" w:type="dxa"/>
            <w:vAlign w:val="center"/>
          </w:tcPr>
          <w:p w14:paraId="0C841D92" w14:textId="77777777" w:rsidR="007910CD" w:rsidRPr="003C5180" w:rsidRDefault="000C3802" w:rsidP="00DE7685">
            <w:pPr>
              <w:pStyle w:val="LightGrid-Accent31"/>
              <w:widowControl w:val="0"/>
              <w:tabs>
                <w:tab w:val="left" w:pos="426"/>
              </w:tabs>
              <w:autoSpaceDE w:val="0"/>
              <w:autoSpaceDN w:val="0"/>
              <w:adjustRightInd w:val="0"/>
              <w:spacing w:after="0" w:line="240" w:lineRule="auto"/>
              <w:ind w:left="0"/>
              <w:rPr>
                <w:rFonts w:cs="Tahoma"/>
                <w:sz w:val="22"/>
                <w:szCs w:val="22"/>
              </w:rPr>
            </w:pPr>
            <w:r w:rsidRPr="003C5180">
              <w:rPr>
                <w:lang w:eastAsia="en-GB"/>
              </w:rPr>
              <w:t>St George’s, University of London</w:t>
            </w:r>
          </w:p>
        </w:tc>
      </w:tr>
      <w:tr w:rsidR="00C0095D" w:rsidRPr="003C5180" w14:paraId="7D12A9DF" w14:textId="77777777" w:rsidTr="007104C5">
        <w:trPr>
          <w:trHeight w:val="265"/>
        </w:trPr>
        <w:tc>
          <w:tcPr>
            <w:tcW w:w="1668" w:type="dxa"/>
            <w:vAlign w:val="center"/>
          </w:tcPr>
          <w:p w14:paraId="188A059A" w14:textId="77777777" w:rsidR="00C0095D" w:rsidRPr="003C5180" w:rsidRDefault="00C0095D" w:rsidP="00924817">
            <w:pPr>
              <w:pStyle w:val="Normal-nospacing"/>
              <w:spacing w:line="240" w:lineRule="auto"/>
              <w:rPr>
                <w:rFonts w:cs="Tahoma"/>
                <w:b/>
                <w:sz w:val="22"/>
                <w:szCs w:val="22"/>
              </w:rPr>
            </w:pPr>
            <w:r w:rsidRPr="003C5180">
              <w:rPr>
                <w:rFonts w:cs="Tahoma"/>
                <w:b/>
                <w:sz w:val="22"/>
                <w:szCs w:val="22"/>
              </w:rPr>
              <w:t>Contact name</w:t>
            </w:r>
            <w:r w:rsidR="007910CD" w:rsidRPr="003C5180">
              <w:rPr>
                <w:rFonts w:cs="Tahoma"/>
                <w:b/>
                <w:sz w:val="22"/>
                <w:szCs w:val="22"/>
              </w:rPr>
              <w:t>s</w:t>
            </w:r>
          </w:p>
        </w:tc>
        <w:tc>
          <w:tcPr>
            <w:tcW w:w="7574" w:type="dxa"/>
            <w:vAlign w:val="center"/>
          </w:tcPr>
          <w:p w14:paraId="0205AA09" w14:textId="66904ACD" w:rsidR="00C0095D" w:rsidRPr="003C5180" w:rsidRDefault="00DE7685" w:rsidP="00924817">
            <w:pPr>
              <w:pStyle w:val="Normal-nospacing"/>
              <w:spacing w:line="240" w:lineRule="auto"/>
              <w:rPr>
                <w:rFonts w:cs="Tahoma"/>
                <w:sz w:val="22"/>
                <w:szCs w:val="22"/>
              </w:rPr>
            </w:pPr>
            <w:r w:rsidRPr="003C5180">
              <w:rPr>
                <w:rFonts w:cs="Tahoma"/>
                <w:sz w:val="22"/>
                <w:szCs w:val="22"/>
              </w:rPr>
              <w:t xml:space="preserve">Sponsor </w:t>
            </w:r>
            <w:r w:rsidR="0013526D">
              <w:rPr>
                <w:rFonts w:cs="Tahoma"/>
                <w:sz w:val="22"/>
                <w:szCs w:val="22"/>
              </w:rPr>
              <w:t>Contact</w:t>
            </w:r>
            <w:r w:rsidRPr="003C5180">
              <w:rPr>
                <w:rFonts w:cs="Tahoma"/>
                <w:sz w:val="22"/>
                <w:szCs w:val="22"/>
              </w:rPr>
              <w:t>:</w:t>
            </w:r>
          </w:p>
          <w:p w14:paraId="2E58BA84" w14:textId="77777777" w:rsidR="00DE7685" w:rsidRPr="003C5180" w:rsidRDefault="00DE7685" w:rsidP="00924817">
            <w:pPr>
              <w:pStyle w:val="Normal-nospacing"/>
              <w:spacing w:line="240" w:lineRule="auto"/>
              <w:rPr>
                <w:rFonts w:cs="Tahoma"/>
                <w:sz w:val="22"/>
                <w:szCs w:val="22"/>
              </w:rPr>
            </w:pPr>
            <w:r w:rsidRPr="003C5180">
              <w:rPr>
                <w:rFonts w:cs="Tahoma"/>
                <w:sz w:val="22"/>
                <w:szCs w:val="22"/>
              </w:rPr>
              <w:t>Debbie Rolfe</w:t>
            </w:r>
          </w:p>
          <w:p w14:paraId="1CF829FB" w14:textId="77777777" w:rsidR="00C0095D" w:rsidRPr="003C5180" w:rsidRDefault="00C0095D" w:rsidP="00924817">
            <w:pPr>
              <w:pStyle w:val="Normal-nospacing"/>
              <w:spacing w:line="240" w:lineRule="auto"/>
              <w:rPr>
                <w:rFonts w:cs="Tahoma"/>
                <w:sz w:val="22"/>
                <w:szCs w:val="22"/>
              </w:rPr>
            </w:pPr>
            <w:r w:rsidRPr="003C5180">
              <w:rPr>
                <w:rFonts w:cs="Tahoma"/>
                <w:sz w:val="22"/>
                <w:szCs w:val="22"/>
              </w:rPr>
              <w:t>Tel: 020 8725 5013</w:t>
            </w:r>
          </w:p>
          <w:p w14:paraId="776F4C5C" w14:textId="77777777" w:rsidR="00C0095D" w:rsidRPr="003C5180" w:rsidRDefault="00C0095D" w:rsidP="00924817">
            <w:pPr>
              <w:pStyle w:val="Normal-nospacing"/>
              <w:spacing w:line="240" w:lineRule="auto"/>
              <w:rPr>
                <w:rFonts w:cs="Tahoma"/>
                <w:sz w:val="22"/>
                <w:szCs w:val="22"/>
              </w:rPr>
            </w:pPr>
            <w:r w:rsidRPr="003C5180">
              <w:rPr>
                <w:rFonts w:cs="Tahoma"/>
                <w:sz w:val="22"/>
                <w:szCs w:val="22"/>
              </w:rPr>
              <w:t>Fax:020 8725 0794</w:t>
            </w:r>
          </w:p>
          <w:p w14:paraId="03D15EE2" w14:textId="77777777" w:rsidR="00C0095D" w:rsidRPr="003C5180" w:rsidRDefault="00C0095D" w:rsidP="00924817">
            <w:pPr>
              <w:pStyle w:val="Normal-nospacing"/>
              <w:spacing w:line="240" w:lineRule="auto"/>
              <w:rPr>
                <w:rFonts w:cs="Tahoma"/>
                <w:sz w:val="22"/>
                <w:szCs w:val="22"/>
              </w:rPr>
            </w:pPr>
            <w:r w:rsidRPr="003C5180">
              <w:rPr>
                <w:rFonts w:cs="Tahoma"/>
                <w:sz w:val="22"/>
                <w:szCs w:val="22"/>
              </w:rPr>
              <w:t>Email:drolfe@sgul.ac.uk</w:t>
            </w:r>
          </w:p>
          <w:p w14:paraId="1231C884" w14:textId="77777777" w:rsidR="00C0095D" w:rsidRPr="003C5180" w:rsidRDefault="00C0095D" w:rsidP="00924817">
            <w:pPr>
              <w:pStyle w:val="Normal-nospacing"/>
              <w:spacing w:line="240" w:lineRule="auto"/>
              <w:rPr>
                <w:rFonts w:cs="Tahoma"/>
                <w:sz w:val="22"/>
                <w:szCs w:val="22"/>
              </w:rPr>
            </w:pPr>
          </w:p>
          <w:p w14:paraId="1AE61D36" w14:textId="77777777" w:rsidR="00C8348C" w:rsidRPr="003C5180" w:rsidRDefault="00DE7685" w:rsidP="00924817">
            <w:pPr>
              <w:pStyle w:val="Normal-nospacing"/>
              <w:spacing w:line="240" w:lineRule="auto"/>
              <w:rPr>
                <w:rFonts w:cs="Tahoma"/>
                <w:sz w:val="22"/>
                <w:szCs w:val="22"/>
              </w:rPr>
            </w:pPr>
            <w:r w:rsidRPr="003C5180">
              <w:rPr>
                <w:rFonts w:cs="Tahoma"/>
                <w:sz w:val="22"/>
                <w:szCs w:val="22"/>
              </w:rPr>
              <w:t>Chief Investigator</w:t>
            </w:r>
            <w:r w:rsidR="00C8348C" w:rsidRPr="003C5180">
              <w:rPr>
                <w:rFonts w:cs="Tahoma"/>
                <w:sz w:val="22"/>
                <w:szCs w:val="22"/>
              </w:rPr>
              <w:t xml:space="preserve">: </w:t>
            </w:r>
          </w:p>
          <w:p w14:paraId="08FB6F5F" w14:textId="77777777" w:rsidR="000C3802" w:rsidRPr="003C5180" w:rsidRDefault="000C3802" w:rsidP="00924817">
            <w:pPr>
              <w:pStyle w:val="Normal-nospacing"/>
              <w:spacing w:line="240" w:lineRule="auto"/>
              <w:rPr>
                <w:rFonts w:cs="Tahoma"/>
                <w:sz w:val="22"/>
                <w:szCs w:val="22"/>
              </w:rPr>
            </w:pPr>
            <w:r w:rsidRPr="003C5180">
              <w:rPr>
                <w:rFonts w:cs="Tahoma"/>
                <w:sz w:val="22"/>
                <w:szCs w:val="22"/>
              </w:rPr>
              <w:t>Professor Paul Heath</w:t>
            </w:r>
          </w:p>
          <w:p w14:paraId="30EC3F51" w14:textId="77777777" w:rsidR="000C3802" w:rsidRPr="003C5180" w:rsidRDefault="000C3802" w:rsidP="00924817">
            <w:pPr>
              <w:pStyle w:val="Normal-nospacing"/>
              <w:spacing w:line="240" w:lineRule="auto"/>
              <w:rPr>
                <w:rFonts w:cs="Tahoma"/>
                <w:sz w:val="22"/>
                <w:szCs w:val="22"/>
              </w:rPr>
            </w:pPr>
            <w:r w:rsidRPr="003C5180">
              <w:rPr>
                <w:rFonts w:cs="Tahoma"/>
                <w:sz w:val="22"/>
                <w:szCs w:val="22"/>
              </w:rPr>
              <w:t>Professor Paediatric Infectious Diseases</w:t>
            </w:r>
          </w:p>
          <w:p w14:paraId="7245DBEB" w14:textId="77777777" w:rsidR="00C0095D" w:rsidRPr="003C5180" w:rsidRDefault="000C3802" w:rsidP="00C72667">
            <w:pPr>
              <w:pStyle w:val="Normal-nospacing"/>
              <w:rPr>
                <w:rFonts w:cs="Tahoma"/>
                <w:sz w:val="22"/>
                <w:szCs w:val="22"/>
              </w:rPr>
            </w:pPr>
            <w:r w:rsidRPr="003C5180">
              <w:rPr>
                <w:rFonts w:cs="Tahoma"/>
                <w:sz w:val="22"/>
                <w:szCs w:val="22"/>
              </w:rPr>
              <w:t>St George’s, University of London</w:t>
            </w:r>
            <w:r w:rsidR="0015457C" w:rsidRPr="003C5180" w:rsidDel="0015457C">
              <w:rPr>
                <w:rFonts w:cs="Tahoma"/>
                <w:b/>
                <w:i/>
                <w:sz w:val="22"/>
                <w:szCs w:val="22"/>
              </w:rPr>
              <w:t xml:space="preserve"> </w:t>
            </w:r>
          </w:p>
        </w:tc>
      </w:tr>
    </w:tbl>
    <w:p w14:paraId="500BD89B" w14:textId="77777777" w:rsidR="00924817" w:rsidRPr="003C5180" w:rsidRDefault="008F6893" w:rsidP="009A28E3">
      <w:pPr>
        <w:rPr>
          <w:rFonts w:cs="Tahoma"/>
          <w:sz w:val="22"/>
          <w:szCs w:val="22"/>
        </w:rPr>
      </w:pPr>
      <w:r w:rsidRPr="003C5180">
        <w:rPr>
          <w:rFonts w:cs="Tahoma"/>
          <w:sz w:val="22"/>
          <w:szCs w:val="22"/>
        </w:rPr>
        <w:br w:type="page"/>
      </w:r>
    </w:p>
    <w:p w14:paraId="7181913D" w14:textId="77777777" w:rsidR="000C3802" w:rsidRPr="003C5180" w:rsidRDefault="006D6704" w:rsidP="00586EF2">
      <w:pPr>
        <w:pStyle w:val="Heading1"/>
        <w:numPr>
          <w:ilvl w:val="0"/>
          <w:numId w:val="20"/>
        </w:numPr>
        <w:rPr>
          <w:rFonts w:ascii="Calibri" w:hAnsi="Calibri"/>
          <w:szCs w:val="28"/>
        </w:rPr>
      </w:pPr>
      <w:bookmarkStart w:id="20" w:name="_Toc470102456"/>
      <w:r w:rsidRPr="003C5180">
        <w:rPr>
          <w:rFonts w:ascii="Calibri" w:hAnsi="Calibri"/>
          <w:szCs w:val="28"/>
        </w:rPr>
        <w:t>Primary Objectives</w:t>
      </w:r>
      <w:bookmarkEnd w:id="20"/>
    </w:p>
    <w:p w14:paraId="12ADD6AF" w14:textId="77777777" w:rsidR="000C3802" w:rsidRPr="003C5180" w:rsidRDefault="000C3802" w:rsidP="00F14506">
      <w:pPr>
        <w:widowControl w:val="0"/>
        <w:autoSpaceDE w:val="0"/>
        <w:autoSpaceDN w:val="0"/>
        <w:adjustRightInd w:val="0"/>
        <w:spacing w:after="0" w:line="240" w:lineRule="auto"/>
        <w:contextualSpacing/>
        <w:jc w:val="both"/>
        <w:rPr>
          <w:lang w:eastAsia="en-GB"/>
        </w:rPr>
      </w:pPr>
      <w:r w:rsidRPr="003C5180">
        <w:rPr>
          <w:lang w:eastAsia="en-GB"/>
        </w:rPr>
        <w:t>To compare the immunological responses of infants born pre</w:t>
      </w:r>
      <w:r w:rsidR="00050807">
        <w:rPr>
          <w:lang w:eastAsia="en-GB"/>
        </w:rPr>
        <w:t>term</w:t>
      </w:r>
      <w:r w:rsidR="005477A9">
        <w:rPr>
          <w:lang w:eastAsia="en-GB"/>
        </w:rPr>
        <w:t xml:space="preserve"> </w:t>
      </w:r>
      <w:r w:rsidRPr="003C5180">
        <w:rPr>
          <w:lang w:eastAsia="en-GB"/>
        </w:rPr>
        <w:t xml:space="preserve">to </w:t>
      </w:r>
      <w:r w:rsidR="00B51670">
        <w:rPr>
          <w:lang w:eastAsia="en-GB"/>
        </w:rPr>
        <w:t>Bexsero®</w:t>
      </w:r>
      <w:r w:rsidRPr="003C5180">
        <w:rPr>
          <w:lang w:eastAsia="en-GB"/>
        </w:rPr>
        <w:t xml:space="preserve"> after two </w:t>
      </w:r>
      <w:r w:rsidR="00637B97">
        <w:rPr>
          <w:lang w:eastAsia="en-GB"/>
        </w:rPr>
        <w:t xml:space="preserve">primary </w:t>
      </w:r>
      <w:r w:rsidRPr="003C5180">
        <w:rPr>
          <w:lang w:eastAsia="en-GB"/>
        </w:rPr>
        <w:t xml:space="preserve">doses </w:t>
      </w:r>
      <w:r w:rsidR="000D7440">
        <w:rPr>
          <w:lang w:eastAsia="en-GB"/>
        </w:rPr>
        <w:t xml:space="preserve">given </w:t>
      </w:r>
      <w:r w:rsidRPr="003C5180">
        <w:rPr>
          <w:lang w:eastAsia="en-GB"/>
        </w:rPr>
        <w:t xml:space="preserve">at 2 and 4 months </w:t>
      </w:r>
      <w:bookmarkStart w:id="21" w:name="OLE_LINK17"/>
      <w:bookmarkStart w:id="22" w:name="OLE_LINK18"/>
      <w:r w:rsidR="000D7440">
        <w:rPr>
          <w:lang w:eastAsia="en-GB"/>
        </w:rPr>
        <w:t>chronological</w:t>
      </w:r>
      <w:bookmarkEnd w:id="21"/>
      <w:bookmarkEnd w:id="22"/>
      <w:r w:rsidR="000D7440">
        <w:rPr>
          <w:lang w:eastAsia="en-GB"/>
        </w:rPr>
        <w:t xml:space="preserve"> </w:t>
      </w:r>
      <w:r w:rsidRPr="003C5180">
        <w:rPr>
          <w:lang w:eastAsia="en-GB"/>
        </w:rPr>
        <w:t xml:space="preserve">age with three doses </w:t>
      </w:r>
      <w:r w:rsidR="000D7440">
        <w:rPr>
          <w:lang w:eastAsia="en-GB"/>
        </w:rPr>
        <w:t xml:space="preserve">given </w:t>
      </w:r>
      <w:r w:rsidRPr="003C5180">
        <w:rPr>
          <w:lang w:eastAsia="en-GB"/>
        </w:rPr>
        <w:t xml:space="preserve">at 2, 3 and 4 months </w:t>
      </w:r>
      <w:r w:rsidR="000D7440">
        <w:rPr>
          <w:lang w:eastAsia="en-GB"/>
        </w:rPr>
        <w:t>chronological</w:t>
      </w:r>
      <w:r w:rsidR="000D7440" w:rsidRPr="003C5180" w:rsidDel="000D7440">
        <w:rPr>
          <w:lang w:eastAsia="en-GB"/>
        </w:rPr>
        <w:t xml:space="preserve"> </w:t>
      </w:r>
      <w:r w:rsidRPr="003C5180">
        <w:rPr>
          <w:lang w:eastAsia="en-GB"/>
        </w:rPr>
        <w:t>age.</w:t>
      </w:r>
    </w:p>
    <w:p w14:paraId="3211C56D" w14:textId="77777777" w:rsidR="006D6704" w:rsidRPr="003C5180" w:rsidRDefault="006D6704" w:rsidP="00586EF2">
      <w:pPr>
        <w:pStyle w:val="Heading1"/>
        <w:numPr>
          <w:ilvl w:val="0"/>
          <w:numId w:val="20"/>
        </w:numPr>
        <w:rPr>
          <w:rFonts w:ascii="Calibri" w:hAnsi="Calibri"/>
          <w:szCs w:val="28"/>
        </w:rPr>
      </w:pPr>
      <w:bookmarkStart w:id="23" w:name="_Toc470102457"/>
      <w:r w:rsidRPr="003C5180">
        <w:rPr>
          <w:rFonts w:ascii="Calibri" w:hAnsi="Calibri"/>
          <w:szCs w:val="28"/>
        </w:rPr>
        <w:t>Secondary Objectives</w:t>
      </w:r>
      <w:bookmarkEnd w:id="23"/>
    </w:p>
    <w:p w14:paraId="6ECFB5DF" w14:textId="77777777" w:rsidR="000C3802" w:rsidRPr="003C5180" w:rsidRDefault="00FF4B97" w:rsidP="00FF4B97">
      <w:pPr>
        <w:widowControl w:val="0"/>
        <w:autoSpaceDE w:val="0"/>
        <w:autoSpaceDN w:val="0"/>
        <w:adjustRightInd w:val="0"/>
        <w:spacing w:after="0" w:line="240" w:lineRule="auto"/>
        <w:contextualSpacing/>
        <w:jc w:val="both"/>
        <w:rPr>
          <w:lang w:eastAsia="en-GB"/>
        </w:rPr>
      </w:pPr>
      <w:r w:rsidRPr="003C5180">
        <w:rPr>
          <w:rFonts w:cs="Arial"/>
          <w:sz w:val="22"/>
          <w:szCs w:val="22"/>
        </w:rPr>
        <w:t>-</w:t>
      </w:r>
      <w:r w:rsidR="000C3802" w:rsidRPr="003C5180">
        <w:rPr>
          <w:lang w:eastAsia="en-GB"/>
        </w:rPr>
        <w:t>To describe the</w:t>
      </w:r>
      <w:r w:rsidR="00327FD0">
        <w:rPr>
          <w:lang w:eastAsia="en-GB"/>
        </w:rPr>
        <w:t xml:space="preserve"> safety</w:t>
      </w:r>
      <w:r w:rsidR="000C3802" w:rsidRPr="003C5180">
        <w:rPr>
          <w:lang w:eastAsia="en-GB"/>
        </w:rPr>
        <w:t xml:space="preserve"> of routine vaccines (including </w:t>
      </w:r>
      <w:r w:rsidR="00B51670">
        <w:rPr>
          <w:lang w:eastAsia="en-GB"/>
        </w:rPr>
        <w:t>Bexsero®</w:t>
      </w:r>
      <w:r w:rsidR="000C3802" w:rsidRPr="003C5180">
        <w:rPr>
          <w:lang w:eastAsia="en-GB"/>
        </w:rPr>
        <w:t>) in premature infants;</w:t>
      </w:r>
    </w:p>
    <w:p w14:paraId="31810C98" w14:textId="77777777" w:rsidR="000C3802" w:rsidRPr="003C5180" w:rsidRDefault="00FF4B97" w:rsidP="00026E3F">
      <w:pPr>
        <w:widowControl w:val="0"/>
        <w:autoSpaceDE w:val="0"/>
        <w:autoSpaceDN w:val="0"/>
        <w:adjustRightInd w:val="0"/>
        <w:spacing w:after="0" w:line="240" w:lineRule="auto"/>
        <w:contextualSpacing/>
        <w:jc w:val="both"/>
        <w:rPr>
          <w:lang w:eastAsia="en-GB"/>
        </w:rPr>
      </w:pPr>
      <w:r w:rsidRPr="003C5180">
        <w:rPr>
          <w:lang w:eastAsia="en-GB"/>
        </w:rPr>
        <w:t>-</w:t>
      </w:r>
      <w:r w:rsidR="000C3802" w:rsidRPr="003C5180">
        <w:rPr>
          <w:lang w:eastAsia="en-GB"/>
        </w:rPr>
        <w:t>To compare the persistenc</w:t>
      </w:r>
      <w:r w:rsidR="00026E3F" w:rsidRPr="003C5180">
        <w:rPr>
          <w:lang w:eastAsia="en-GB"/>
        </w:rPr>
        <w:t xml:space="preserve">e of immunological responses to </w:t>
      </w:r>
      <w:r w:rsidR="00B51670">
        <w:rPr>
          <w:lang w:eastAsia="en-GB"/>
        </w:rPr>
        <w:t>Bexsero®</w:t>
      </w:r>
      <w:r w:rsidR="00026E3F" w:rsidRPr="003C5180">
        <w:rPr>
          <w:lang w:eastAsia="en-GB"/>
        </w:rPr>
        <w:t xml:space="preserve"> at </w:t>
      </w:r>
      <w:r w:rsidR="000C3802" w:rsidRPr="003C5180">
        <w:rPr>
          <w:lang w:eastAsia="en-GB"/>
        </w:rPr>
        <w:t xml:space="preserve">12 months </w:t>
      </w:r>
      <w:r w:rsidR="000D7440">
        <w:rPr>
          <w:lang w:eastAsia="en-GB"/>
        </w:rPr>
        <w:t>chronological</w:t>
      </w:r>
      <w:r w:rsidR="000C3802" w:rsidRPr="003C5180">
        <w:rPr>
          <w:lang w:eastAsia="en-GB"/>
        </w:rPr>
        <w:t xml:space="preserve"> age after two doses at 2 and 4 months of age with three doses at 2, 3 and 4 months of age;</w:t>
      </w:r>
    </w:p>
    <w:p w14:paraId="3ECD024E" w14:textId="77777777" w:rsidR="000C3802" w:rsidRPr="003C5180" w:rsidRDefault="00FF4B97" w:rsidP="00FF4B97">
      <w:pPr>
        <w:widowControl w:val="0"/>
        <w:autoSpaceDE w:val="0"/>
        <w:autoSpaceDN w:val="0"/>
        <w:adjustRightInd w:val="0"/>
        <w:spacing w:after="0" w:line="240" w:lineRule="auto"/>
        <w:contextualSpacing/>
        <w:jc w:val="both"/>
        <w:rPr>
          <w:lang w:eastAsia="en-GB"/>
        </w:rPr>
      </w:pPr>
      <w:r w:rsidRPr="003C5180">
        <w:rPr>
          <w:lang w:eastAsia="en-GB"/>
        </w:rPr>
        <w:t>-</w:t>
      </w:r>
      <w:r w:rsidR="000C3802" w:rsidRPr="003C5180">
        <w:rPr>
          <w:lang w:eastAsia="en-GB"/>
        </w:rPr>
        <w:t xml:space="preserve">To compare the </w:t>
      </w:r>
      <w:r w:rsidR="00DD27A0" w:rsidRPr="003C5180">
        <w:rPr>
          <w:lang w:eastAsia="en-GB"/>
        </w:rPr>
        <w:t xml:space="preserve">immunological responses </w:t>
      </w:r>
      <w:r w:rsidR="00DD27A0">
        <w:rPr>
          <w:lang w:eastAsia="en-GB"/>
        </w:rPr>
        <w:t>following the 12</w:t>
      </w:r>
      <w:r w:rsidR="000D7440">
        <w:rPr>
          <w:lang w:eastAsia="en-GB"/>
        </w:rPr>
        <w:t>-</w:t>
      </w:r>
      <w:r w:rsidR="00DD27A0">
        <w:rPr>
          <w:lang w:eastAsia="en-GB"/>
        </w:rPr>
        <w:t xml:space="preserve">month </w:t>
      </w:r>
      <w:r w:rsidR="00B51670">
        <w:rPr>
          <w:lang w:eastAsia="en-GB"/>
        </w:rPr>
        <w:t>Bexsero®</w:t>
      </w:r>
      <w:r w:rsidR="000D7440" w:rsidRPr="003C5180">
        <w:rPr>
          <w:lang w:eastAsia="en-GB"/>
        </w:rPr>
        <w:t xml:space="preserve"> </w:t>
      </w:r>
      <w:r w:rsidR="00DD27A0">
        <w:rPr>
          <w:lang w:eastAsia="en-GB"/>
        </w:rPr>
        <w:t xml:space="preserve">booster </w:t>
      </w:r>
      <w:r w:rsidR="000D7440">
        <w:rPr>
          <w:lang w:eastAsia="en-GB"/>
        </w:rPr>
        <w:t>in</w:t>
      </w:r>
      <w:r w:rsidR="00DD27A0">
        <w:rPr>
          <w:lang w:eastAsia="en-GB"/>
        </w:rPr>
        <w:t xml:space="preserve"> babies who received</w:t>
      </w:r>
      <w:r w:rsidR="000C3802" w:rsidRPr="003C5180">
        <w:rPr>
          <w:lang w:eastAsia="en-GB"/>
        </w:rPr>
        <w:t xml:space="preserve"> two doses at 2 and 4 months of age with th</w:t>
      </w:r>
      <w:r w:rsidR="00DD27A0">
        <w:rPr>
          <w:lang w:eastAsia="en-GB"/>
        </w:rPr>
        <w:t xml:space="preserve">ose who received three </w:t>
      </w:r>
      <w:r w:rsidR="000C3802" w:rsidRPr="003C5180">
        <w:rPr>
          <w:lang w:eastAsia="en-GB"/>
        </w:rPr>
        <w:t>doses at 2, 3 and 4 months of age.</w:t>
      </w:r>
    </w:p>
    <w:p w14:paraId="59DE3111" w14:textId="77777777" w:rsidR="00674D67" w:rsidRPr="003C5180" w:rsidRDefault="006D6704" w:rsidP="00586EF2">
      <w:pPr>
        <w:pStyle w:val="Heading1"/>
        <w:numPr>
          <w:ilvl w:val="0"/>
          <w:numId w:val="20"/>
        </w:numPr>
        <w:rPr>
          <w:rFonts w:ascii="Calibri" w:hAnsi="Calibri"/>
          <w:szCs w:val="28"/>
        </w:rPr>
      </w:pPr>
      <w:bookmarkStart w:id="24" w:name="_Toc470102458"/>
      <w:r w:rsidRPr="003C5180">
        <w:rPr>
          <w:rFonts w:ascii="Calibri" w:hAnsi="Calibri"/>
          <w:szCs w:val="28"/>
        </w:rPr>
        <w:t>Background</w:t>
      </w:r>
      <w:bookmarkEnd w:id="24"/>
    </w:p>
    <w:p w14:paraId="3C0D4500" w14:textId="77777777" w:rsidR="004571CC" w:rsidRPr="003C5180" w:rsidRDefault="006D6704" w:rsidP="00E31FF1">
      <w:pPr>
        <w:pStyle w:val="Heading1"/>
        <w:ind w:firstLine="142"/>
        <w:rPr>
          <w:rFonts w:ascii="Calibri" w:hAnsi="Calibri"/>
          <w:sz w:val="24"/>
          <w:szCs w:val="24"/>
        </w:rPr>
      </w:pPr>
      <w:bookmarkStart w:id="25" w:name="_Toc392772292"/>
      <w:bookmarkStart w:id="26" w:name="_Toc392772968"/>
      <w:bookmarkStart w:id="27" w:name="_Toc470102459"/>
      <w:r w:rsidRPr="003C5180">
        <w:rPr>
          <w:rFonts w:ascii="Calibri" w:hAnsi="Calibri"/>
          <w:sz w:val="24"/>
          <w:szCs w:val="24"/>
        </w:rPr>
        <w:t>Study disease</w:t>
      </w:r>
      <w:bookmarkEnd w:id="25"/>
      <w:bookmarkEnd w:id="26"/>
      <w:bookmarkEnd w:id="27"/>
    </w:p>
    <w:p w14:paraId="641CD316" w14:textId="2E69B9CD" w:rsidR="009D08DA" w:rsidRPr="003C5180" w:rsidRDefault="009D08DA" w:rsidP="009D08DA">
      <w:pPr>
        <w:rPr>
          <w:lang w:eastAsia="en-GB"/>
        </w:rPr>
      </w:pPr>
      <w:r w:rsidRPr="003C5180">
        <w:rPr>
          <w:i/>
          <w:lang w:eastAsia="en-GB"/>
        </w:rPr>
        <w:t>Neisseria meningitid</w:t>
      </w:r>
      <w:r w:rsidR="003928EA">
        <w:rPr>
          <w:i/>
          <w:lang w:eastAsia="en-GB"/>
        </w:rPr>
        <w:t>i</w:t>
      </w:r>
      <w:r w:rsidRPr="003C5180">
        <w:rPr>
          <w:i/>
          <w:lang w:eastAsia="en-GB"/>
        </w:rPr>
        <w:t>s</w:t>
      </w:r>
      <w:r w:rsidR="001E0347" w:rsidRPr="003C5180">
        <w:rPr>
          <w:lang w:eastAsia="en-GB"/>
        </w:rPr>
        <w:t xml:space="preserve"> (meningococcus)</w:t>
      </w:r>
      <w:r w:rsidRPr="003C5180">
        <w:rPr>
          <w:lang w:eastAsia="en-GB"/>
        </w:rPr>
        <w:t xml:space="preserve"> is </w:t>
      </w:r>
      <w:r w:rsidR="0060123F" w:rsidRPr="003C5180">
        <w:rPr>
          <w:lang w:eastAsia="en-GB"/>
        </w:rPr>
        <w:t>a bacterium</w:t>
      </w:r>
      <w:r w:rsidRPr="003C5180">
        <w:rPr>
          <w:lang w:eastAsia="en-GB"/>
        </w:rPr>
        <w:t xml:space="preserve"> which causes meningitis and septicaemia. There are </w:t>
      </w:r>
      <w:r w:rsidR="001E0347" w:rsidRPr="003C5180">
        <w:rPr>
          <w:lang w:eastAsia="en-GB"/>
        </w:rPr>
        <w:t>13 serogroups of meningococcus</w:t>
      </w:r>
      <w:r w:rsidR="008F18DD">
        <w:rPr>
          <w:lang w:eastAsia="en-GB"/>
        </w:rPr>
        <w:t>,</w:t>
      </w:r>
      <w:r w:rsidR="001E0347" w:rsidRPr="003C5180">
        <w:rPr>
          <w:lang w:eastAsia="en-GB"/>
        </w:rPr>
        <w:t xml:space="preserve"> 6 (A, B, C, W, X and Y</w:t>
      </w:r>
      <w:r w:rsidR="0060123F" w:rsidRPr="003C5180">
        <w:rPr>
          <w:lang w:eastAsia="en-GB"/>
        </w:rPr>
        <w:t>)</w:t>
      </w:r>
      <w:r w:rsidR="0060123F">
        <w:rPr>
          <w:lang w:eastAsia="en-GB"/>
        </w:rPr>
        <w:t xml:space="preserve"> </w:t>
      </w:r>
      <w:r w:rsidR="0060123F" w:rsidRPr="003C5180">
        <w:rPr>
          <w:lang w:eastAsia="en-GB"/>
        </w:rPr>
        <w:t>cause most disease</w:t>
      </w:r>
      <w:r w:rsidR="008F18DD">
        <w:rPr>
          <w:lang w:eastAsia="en-GB"/>
        </w:rPr>
        <w:t xml:space="preserve"> of which</w:t>
      </w:r>
      <w:r w:rsidR="001E0347" w:rsidRPr="003C5180">
        <w:rPr>
          <w:lang w:eastAsia="en-GB"/>
        </w:rPr>
        <w:t xml:space="preserve"> Men B </w:t>
      </w:r>
      <w:r w:rsidR="008F18DD">
        <w:rPr>
          <w:lang w:eastAsia="en-GB"/>
        </w:rPr>
        <w:t>is</w:t>
      </w:r>
      <w:r w:rsidR="001E0347" w:rsidRPr="003C5180">
        <w:rPr>
          <w:lang w:eastAsia="en-GB"/>
        </w:rPr>
        <w:t xml:space="preserve"> the most common cause of meningococcal disease in the UK. Babies are the most </w:t>
      </w:r>
      <w:r w:rsidR="00104ACF" w:rsidRPr="003C5180">
        <w:rPr>
          <w:lang w:eastAsia="en-GB"/>
        </w:rPr>
        <w:t xml:space="preserve">frequently </w:t>
      </w:r>
      <w:r w:rsidR="001E0347" w:rsidRPr="003C5180">
        <w:rPr>
          <w:lang w:eastAsia="en-GB"/>
        </w:rPr>
        <w:t>affected group</w:t>
      </w:r>
      <w:r w:rsidR="00104ACF" w:rsidRPr="003C5180">
        <w:rPr>
          <w:lang w:eastAsia="en-GB"/>
        </w:rPr>
        <w:t>,</w:t>
      </w:r>
      <w:r w:rsidR="001E0347" w:rsidRPr="003C5180">
        <w:rPr>
          <w:lang w:eastAsia="en-GB"/>
        </w:rPr>
        <w:t xml:space="preserve"> with the main burden of disease falling in the second </w:t>
      </w:r>
      <w:r w:rsidR="0060123F">
        <w:rPr>
          <w:lang w:eastAsia="en-GB"/>
        </w:rPr>
        <w:t>6</w:t>
      </w:r>
      <w:r w:rsidR="0060123F" w:rsidRPr="003C5180">
        <w:rPr>
          <w:lang w:eastAsia="en-GB"/>
        </w:rPr>
        <w:t xml:space="preserve"> </w:t>
      </w:r>
      <w:r w:rsidR="001E0347" w:rsidRPr="003C5180">
        <w:rPr>
          <w:lang w:eastAsia="en-GB"/>
        </w:rPr>
        <w:t xml:space="preserve">months of life. In 2015 the UK became the first country in the world to introduce Men B vaccination into </w:t>
      </w:r>
      <w:r w:rsidR="0060123F">
        <w:rPr>
          <w:lang w:eastAsia="en-GB"/>
        </w:rPr>
        <w:t>its</w:t>
      </w:r>
      <w:r w:rsidR="0060123F" w:rsidRPr="003C5180">
        <w:rPr>
          <w:lang w:eastAsia="en-GB"/>
        </w:rPr>
        <w:t xml:space="preserve"> </w:t>
      </w:r>
      <w:r w:rsidR="001E0347" w:rsidRPr="003C5180">
        <w:rPr>
          <w:lang w:eastAsia="en-GB"/>
        </w:rPr>
        <w:t>routine schedule</w:t>
      </w:r>
      <w:r w:rsidR="0060123F">
        <w:rPr>
          <w:lang w:eastAsia="en-GB"/>
        </w:rPr>
        <w:t>,</w:t>
      </w:r>
      <w:r w:rsidR="00AB22EC">
        <w:rPr>
          <w:lang w:eastAsia="en-GB"/>
        </w:rPr>
        <w:t xml:space="preserve"> with a two-dose priming regime with a booster at 12 months</w:t>
      </w:r>
      <w:r w:rsidR="00EC7DEA">
        <w:rPr>
          <w:lang w:eastAsia="en-GB"/>
        </w:rPr>
        <w:t>.</w:t>
      </w:r>
      <w:r w:rsidR="00E946AF">
        <w:rPr>
          <w:lang w:eastAsia="en-GB"/>
        </w:rPr>
        <w:t xml:space="preserve"> A recent paper has shown </w:t>
      </w:r>
      <w:r w:rsidR="008B7D77">
        <w:rPr>
          <w:lang w:eastAsia="en-GB"/>
        </w:rPr>
        <w:t>this schedule to be highly effective in preventing Men B disease in infants (Parikh et al, 2016)</w:t>
      </w:r>
      <w:r w:rsidR="00AB22EC">
        <w:rPr>
          <w:lang w:eastAsia="en-GB"/>
        </w:rPr>
        <w:t>.</w:t>
      </w:r>
    </w:p>
    <w:p w14:paraId="40DAD4C6" w14:textId="77777777" w:rsidR="00714704" w:rsidRDefault="00833C99" w:rsidP="00714704">
      <w:pPr>
        <w:rPr>
          <w:lang w:eastAsia="en-GB"/>
        </w:rPr>
      </w:pPr>
      <w:r w:rsidRPr="003C5180">
        <w:rPr>
          <w:lang w:eastAsia="en-GB"/>
        </w:rPr>
        <w:t xml:space="preserve">Premature delivery affects a significant minority of infants: around </w:t>
      </w:r>
      <w:r w:rsidR="001E0347" w:rsidRPr="003C5180">
        <w:rPr>
          <w:lang w:eastAsia="en-GB"/>
        </w:rPr>
        <w:t xml:space="preserve">7% </w:t>
      </w:r>
      <w:r w:rsidRPr="003C5180">
        <w:rPr>
          <w:lang w:eastAsia="en-GB"/>
        </w:rPr>
        <w:t xml:space="preserve">in the UK and around 10% globally. These infants are more at risk from vaccine-preventable diseases and it is therefore very important that they are adequately vaccinated. </w:t>
      </w:r>
      <w:r w:rsidR="00FF4B97" w:rsidRPr="003C5180">
        <w:rPr>
          <w:lang w:eastAsia="en-GB"/>
        </w:rPr>
        <w:t>Premature infants are vaccinated according to their chronological age</w:t>
      </w:r>
      <w:r w:rsidR="009C5FAB">
        <w:rPr>
          <w:lang w:eastAsia="en-GB"/>
        </w:rPr>
        <w:t xml:space="preserve"> (see table 1 for current vaccination schedule)</w:t>
      </w:r>
      <w:r w:rsidR="00FF4B97" w:rsidRPr="003C5180">
        <w:rPr>
          <w:lang w:eastAsia="en-GB"/>
        </w:rPr>
        <w:t xml:space="preserve">, </w:t>
      </w:r>
      <w:r w:rsidR="00714704" w:rsidRPr="003C5180">
        <w:rPr>
          <w:lang w:eastAsia="en-GB"/>
        </w:rPr>
        <w:t xml:space="preserve">but this may provide them with less protection than their term counterparts. There is existing evidence that preterm infants have a lower response to a range of routine vaccines including Hib (Heath et al, 2003), pneumococcal conjugates (Ruggeberg et al, 2005), Hepatitis B (Losonsky et al, 1999), and DTP (Robinson et al, 2004), and that the response to pneumococcal vaccination in premature infants is dependent on the primary schedule they receive (Kent et al, 2016). There </w:t>
      </w:r>
      <w:r w:rsidR="00EC7DEA">
        <w:rPr>
          <w:lang w:eastAsia="en-GB"/>
        </w:rPr>
        <w:t>are</w:t>
      </w:r>
      <w:r w:rsidR="00714704" w:rsidRPr="003C5180">
        <w:rPr>
          <w:lang w:eastAsia="en-GB"/>
        </w:rPr>
        <w:t xml:space="preserve"> currently no </w:t>
      </w:r>
      <w:r w:rsidR="00EC7DEA">
        <w:rPr>
          <w:lang w:eastAsia="en-GB"/>
        </w:rPr>
        <w:t xml:space="preserve">data </w:t>
      </w:r>
      <w:r w:rsidR="00714704" w:rsidRPr="003C5180">
        <w:rPr>
          <w:lang w:eastAsia="en-GB"/>
        </w:rPr>
        <w:t xml:space="preserve">available </w:t>
      </w:r>
      <w:r w:rsidR="00EC7DEA">
        <w:rPr>
          <w:lang w:eastAsia="en-GB"/>
        </w:rPr>
        <w:t>on</w:t>
      </w:r>
      <w:r w:rsidR="00EC7DEA" w:rsidRPr="003C5180">
        <w:rPr>
          <w:lang w:eastAsia="en-GB"/>
        </w:rPr>
        <w:t xml:space="preserve"> </w:t>
      </w:r>
      <w:r w:rsidR="00714704" w:rsidRPr="003C5180">
        <w:rPr>
          <w:lang w:eastAsia="en-GB"/>
        </w:rPr>
        <w:t xml:space="preserve">the response of preterm infants to the </w:t>
      </w:r>
      <w:r w:rsidR="00B51670">
        <w:rPr>
          <w:lang w:eastAsia="en-GB"/>
        </w:rPr>
        <w:t>Bexsero®</w:t>
      </w:r>
      <w:r w:rsidR="00714704" w:rsidRPr="003C5180">
        <w:rPr>
          <w:lang w:eastAsia="en-GB"/>
        </w:rPr>
        <w:t xml:space="preserve"> vaccine. </w:t>
      </w:r>
    </w:p>
    <w:p w14:paraId="26218B58" w14:textId="09EDAB0E" w:rsidR="00F75B8E" w:rsidRPr="003C5180" w:rsidRDefault="00F75B8E" w:rsidP="00714704">
      <w:pPr>
        <w:rPr>
          <w:lang w:eastAsia="en-GB"/>
        </w:rPr>
      </w:pPr>
      <w:r>
        <w:rPr>
          <w:lang w:eastAsia="en-GB"/>
        </w:rPr>
        <w:t>The vaccine schedule changed in August 2017 from a 5-in-1 to a 6-in-1 vaccine being given at each of the primary vaccinations. All babies born on or after the 1</w:t>
      </w:r>
      <w:r w:rsidRPr="00ED2F59">
        <w:rPr>
          <w:vertAlign w:val="superscript"/>
          <w:lang w:eastAsia="en-GB"/>
        </w:rPr>
        <w:t>st</w:t>
      </w:r>
      <w:r>
        <w:rPr>
          <w:lang w:eastAsia="en-GB"/>
        </w:rPr>
        <w:t xml:space="preserve"> August 2017 will receive the 6-in-1 vaccine</w:t>
      </w:r>
      <w:r w:rsidR="008C2FD0">
        <w:rPr>
          <w:lang w:eastAsia="en-GB"/>
        </w:rPr>
        <w:t>.</w:t>
      </w:r>
    </w:p>
    <w:p w14:paraId="6FEB7985" w14:textId="77777777" w:rsidR="00714704" w:rsidRPr="003C5180" w:rsidRDefault="00714704" w:rsidP="00714704">
      <w:pPr>
        <w:rPr>
          <w:lang w:eastAsia="en-GB"/>
        </w:rPr>
      </w:pPr>
    </w:p>
    <w:tbl>
      <w:tblPr>
        <w:tblW w:w="856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010"/>
        <w:gridCol w:w="1097"/>
        <w:gridCol w:w="1098"/>
        <w:gridCol w:w="1097"/>
        <w:gridCol w:w="1103"/>
      </w:tblGrid>
      <w:tr w:rsidR="00086BFE" w:rsidRPr="003C5180" w14:paraId="53AEF022" w14:textId="77777777" w:rsidTr="00ED2F59">
        <w:trPr>
          <w:cantSplit/>
          <w:trHeight w:val="531"/>
        </w:trPr>
        <w:tc>
          <w:tcPr>
            <w:tcW w:w="2160" w:type="dxa"/>
            <w:vMerge w:val="restart"/>
            <w:vAlign w:val="center"/>
          </w:tcPr>
          <w:p w14:paraId="571868DB" w14:textId="77777777" w:rsidR="00086BFE" w:rsidRPr="003C5180" w:rsidRDefault="00086BFE" w:rsidP="00B348AE">
            <w:pPr>
              <w:jc w:val="center"/>
              <w:rPr>
                <w:lang w:eastAsia="en-GB"/>
              </w:rPr>
            </w:pPr>
            <w:r w:rsidRPr="003C5180">
              <w:rPr>
                <w:lang w:eastAsia="en-GB"/>
              </w:rPr>
              <w:t>Vaccine</w:t>
            </w:r>
          </w:p>
        </w:tc>
        <w:tc>
          <w:tcPr>
            <w:tcW w:w="2010" w:type="dxa"/>
            <w:vMerge w:val="restart"/>
            <w:vAlign w:val="center"/>
          </w:tcPr>
          <w:p w14:paraId="5E7B7605" w14:textId="77777777" w:rsidR="00086BFE" w:rsidRPr="003C5180" w:rsidRDefault="00086BFE" w:rsidP="00B348AE">
            <w:pPr>
              <w:jc w:val="center"/>
              <w:rPr>
                <w:lang w:eastAsia="en-GB"/>
              </w:rPr>
            </w:pPr>
            <w:r w:rsidRPr="003C5180">
              <w:rPr>
                <w:lang w:eastAsia="en-GB"/>
              </w:rPr>
              <w:t>Product names</w:t>
            </w:r>
          </w:p>
        </w:tc>
        <w:tc>
          <w:tcPr>
            <w:tcW w:w="4395" w:type="dxa"/>
            <w:gridSpan w:val="4"/>
            <w:tcBorders>
              <w:bottom w:val="single" w:sz="4" w:space="0" w:color="auto"/>
            </w:tcBorders>
            <w:shd w:val="clear" w:color="auto" w:fill="auto"/>
          </w:tcPr>
          <w:p w14:paraId="416B7D33" w14:textId="77777777" w:rsidR="00086BFE" w:rsidRPr="003C5180" w:rsidRDefault="00086BFE" w:rsidP="00714704">
            <w:pPr>
              <w:spacing w:after="0" w:line="240" w:lineRule="auto"/>
              <w:jc w:val="center"/>
              <w:rPr>
                <w:lang w:eastAsia="en-GB"/>
              </w:rPr>
            </w:pPr>
            <w:r w:rsidRPr="003C5180">
              <w:rPr>
                <w:lang w:eastAsia="en-GB"/>
              </w:rPr>
              <w:t>Age (months)</w:t>
            </w:r>
          </w:p>
        </w:tc>
      </w:tr>
      <w:tr w:rsidR="00086BFE" w:rsidRPr="003C5180" w14:paraId="491AE0DC" w14:textId="77777777" w:rsidTr="00ED2F59">
        <w:trPr>
          <w:cantSplit/>
        </w:trPr>
        <w:tc>
          <w:tcPr>
            <w:tcW w:w="2160" w:type="dxa"/>
            <w:vMerge/>
            <w:vAlign w:val="center"/>
          </w:tcPr>
          <w:p w14:paraId="793F23B0" w14:textId="77777777" w:rsidR="00086BFE" w:rsidRPr="003C5180" w:rsidRDefault="00086BFE" w:rsidP="00B348AE">
            <w:pPr>
              <w:jc w:val="center"/>
              <w:rPr>
                <w:lang w:eastAsia="en-GB"/>
              </w:rPr>
            </w:pPr>
          </w:p>
        </w:tc>
        <w:tc>
          <w:tcPr>
            <w:tcW w:w="2010" w:type="dxa"/>
            <w:vMerge/>
            <w:vAlign w:val="center"/>
          </w:tcPr>
          <w:p w14:paraId="064900E4" w14:textId="77777777" w:rsidR="00086BFE" w:rsidRPr="003C5180" w:rsidRDefault="00086BFE" w:rsidP="00086BFE">
            <w:pPr>
              <w:jc w:val="center"/>
              <w:rPr>
                <w:lang w:eastAsia="en-GB"/>
              </w:rPr>
            </w:pPr>
          </w:p>
        </w:tc>
        <w:tc>
          <w:tcPr>
            <w:tcW w:w="1097" w:type="dxa"/>
            <w:vAlign w:val="center"/>
          </w:tcPr>
          <w:p w14:paraId="39B3D84F" w14:textId="77777777" w:rsidR="00086BFE" w:rsidRPr="003C5180" w:rsidRDefault="00086BFE" w:rsidP="00086BFE">
            <w:pPr>
              <w:jc w:val="center"/>
              <w:rPr>
                <w:lang w:eastAsia="en-GB"/>
              </w:rPr>
            </w:pPr>
            <w:r w:rsidRPr="003C5180">
              <w:rPr>
                <w:lang w:eastAsia="en-GB"/>
              </w:rPr>
              <w:t>2</w:t>
            </w:r>
          </w:p>
        </w:tc>
        <w:tc>
          <w:tcPr>
            <w:tcW w:w="1098" w:type="dxa"/>
            <w:vAlign w:val="center"/>
          </w:tcPr>
          <w:p w14:paraId="437E325B" w14:textId="77777777" w:rsidR="00086BFE" w:rsidRPr="003C5180" w:rsidRDefault="00086BFE" w:rsidP="00086BFE">
            <w:pPr>
              <w:jc w:val="center"/>
              <w:rPr>
                <w:lang w:eastAsia="en-GB"/>
              </w:rPr>
            </w:pPr>
            <w:r w:rsidRPr="003C5180">
              <w:rPr>
                <w:lang w:eastAsia="en-GB"/>
              </w:rPr>
              <w:t>3</w:t>
            </w:r>
          </w:p>
        </w:tc>
        <w:tc>
          <w:tcPr>
            <w:tcW w:w="1097" w:type="dxa"/>
            <w:vAlign w:val="center"/>
          </w:tcPr>
          <w:p w14:paraId="5B5E96DD" w14:textId="77777777" w:rsidR="00086BFE" w:rsidRPr="003C5180" w:rsidRDefault="00086BFE" w:rsidP="00086BFE">
            <w:pPr>
              <w:jc w:val="center"/>
              <w:rPr>
                <w:lang w:eastAsia="en-GB"/>
              </w:rPr>
            </w:pPr>
            <w:r w:rsidRPr="003C5180">
              <w:rPr>
                <w:lang w:eastAsia="en-GB"/>
              </w:rPr>
              <w:t>4</w:t>
            </w:r>
          </w:p>
        </w:tc>
        <w:tc>
          <w:tcPr>
            <w:tcW w:w="1103" w:type="dxa"/>
            <w:tcBorders>
              <w:right w:val="single" w:sz="4" w:space="0" w:color="auto"/>
            </w:tcBorders>
            <w:vAlign w:val="center"/>
          </w:tcPr>
          <w:p w14:paraId="56CE72E7" w14:textId="77777777" w:rsidR="00086BFE" w:rsidRPr="003C5180" w:rsidRDefault="00086BFE" w:rsidP="00B348AE">
            <w:pPr>
              <w:pStyle w:val="Header"/>
              <w:jc w:val="center"/>
              <w:rPr>
                <w:lang w:eastAsia="en-GB"/>
              </w:rPr>
            </w:pPr>
            <w:r w:rsidRPr="003C5180">
              <w:rPr>
                <w:lang w:eastAsia="en-GB"/>
              </w:rPr>
              <w:t>12</w:t>
            </w:r>
          </w:p>
        </w:tc>
      </w:tr>
      <w:tr w:rsidR="00086BFE" w:rsidRPr="003C5180" w14:paraId="6C85A9DB" w14:textId="77777777" w:rsidTr="00ED2F59">
        <w:tc>
          <w:tcPr>
            <w:tcW w:w="2160" w:type="dxa"/>
            <w:vAlign w:val="center"/>
          </w:tcPr>
          <w:p w14:paraId="273122B4" w14:textId="77777777" w:rsidR="00086BFE" w:rsidRPr="003C5180" w:rsidRDefault="00086BFE" w:rsidP="00FA4DB7">
            <w:pPr>
              <w:jc w:val="center"/>
              <w:rPr>
                <w:lang w:eastAsia="en-GB"/>
              </w:rPr>
            </w:pPr>
            <w:r w:rsidRPr="003C5180">
              <w:rPr>
                <w:lang w:eastAsia="en-GB"/>
              </w:rPr>
              <w:t>DTaP/IPV</w:t>
            </w:r>
            <w:r w:rsidR="00FA4DB7">
              <w:rPr>
                <w:lang w:eastAsia="en-GB"/>
              </w:rPr>
              <w:t>/</w:t>
            </w:r>
            <w:r w:rsidR="00FA4DB7" w:rsidRPr="003C5180">
              <w:rPr>
                <w:lang w:eastAsia="en-GB"/>
              </w:rPr>
              <w:t>Hib</w:t>
            </w:r>
            <w:r w:rsidR="00F75B8E">
              <w:rPr>
                <w:lang w:eastAsia="en-GB"/>
              </w:rPr>
              <w:t>/Hep B</w:t>
            </w:r>
          </w:p>
        </w:tc>
        <w:tc>
          <w:tcPr>
            <w:tcW w:w="2010" w:type="dxa"/>
            <w:vAlign w:val="center"/>
          </w:tcPr>
          <w:p w14:paraId="476571F5" w14:textId="1F96A19E" w:rsidR="00821C19" w:rsidRPr="003C5180" w:rsidRDefault="00086BFE" w:rsidP="00ED2F59">
            <w:pPr>
              <w:rPr>
                <w:lang w:eastAsia="en-GB"/>
              </w:rPr>
            </w:pPr>
            <w:r w:rsidRPr="003C5180">
              <w:rPr>
                <w:lang w:eastAsia="en-GB"/>
              </w:rPr>
              <w:t xml:space="preserve">Infanrix </w:t>
            </w:r>
            <w:r w:rsidR="00F75B8E">
              <w:rPr>
                <w:lang w:eastAsia="en-GB"/>
              </w:rPr>
              <w:t>Hexa</w:t>
            </w:r>
            <w:r w:rsidR="00F75B8E" w:rsidRPr="003C5180">
              <w:rPr>
                <w:lang w:eastAsia="en-GB"/>
              </w:rPr>
              <w:t>®</w:t>
            </w:r>
          </w:p>
        </w:tc>
        <w:tc>
          <w:tcPr>
            <w:tcW w:w="1097" w:type="dxa"/>
            <w:vAlign w:val="center"/>
          </w:tcPr>
          <w:p w14:paraId="19D193A8"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098" w:type="dxa"/>
            <w:vAlign w:val="center"/>
          </w:tcPr>
          <w:p w14:paraId="181A4ABB"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097" w:type="dxa"/>
            <w:vAlign w:val="center"/>
          </w:tcPr>
          <w:p w14:paraId="43B1B256"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103" w:type="dxa"/>
            <w:tcBorders>
              <w:right w:val="single" w:sz="4" w:space="0" w:color="auto"/>
            </w:tcBorders>
            <w:vAlign w:val="center"/>
          </w:tcPr>
          <w:p w14:paraId="1313753F" w14:textId="77777777" w:rsidR="00086BFE" w:rsidRPr="003C5180" w:rsidRDefault="00086BFE" w:rsidP="00B348AE">
            <w:pPr>
              <w:pStyle w:val="Header"/>
              <w:jc w:val="center"/>
              <w:rPr>
                <w:lang w:eastAsia="en-GB"/>
              </w:rPr>
            </w:pPr>
          </w:p>
        </w:tc>
      </w:tr>
      <w:tr w:rsidR="00086BFE" w:rsidRPr="003C5180" w14:paraId="3AE77E4F" w14:textId="77777777" w:rsidTr="00ED2F59">
        <w:tc>
          <w:tcPr>
            <w:tcW w:w="2160" w:type="dxa"/>
            <w:vAlign w:val="center"/>
          </w:tcPr>
          <w:p w14:paraId="5ED22AB2" w14:textId="77777777" w:rsidR="00086BFE" w:rsidRPr="003C5180" w:rsidRDefault="00086BFE" w:rsidP="00735601">
            <w:pPr>
              <w:jc w:val="center"/>
              <w:rPr>
                <w:lang w:eastAsia="en-GB"/>
              </w:rPr>
            </w:pPr>
            <w:r w:rsidRPr="003C5180">
              <w:rPr>
                <w:lang w:eastAsia="en-GB"/>
              </w:rPr>
              <w:t>Rotavirus</w:t>
            </w:r>
          </w:p>
        </w:tc>
        <w:tc>
          <w:tcPr>
            <w:tcW w:w="2010" w:type="dxa"/>
            <w:vAlign w:val="center"/>
          </w:tcPr>
          <w:p w14:paraId="3FBCDD7C" w14:textId="77777777" w:rsidR="00086BFE" w:rsidRPr="003C5180" w:rsidRDefault="00086BFE" w:rsidP="00735601">
            <w:pPr>
              <w:jc w:val="center"/>
              <w:rPr>
                <w:lang w:eastAsia="en-GB"/>
              </w:rPr>
            </w:pPr>
            <w:r w:rsidRPr="003C5180">
              <w:rPr>
                <w:lang w:eastAsia="en-GB"/>
              </w:rPr>
              <w:t>Rotarix®</w:t>
            </w:r>
          </w:p>
        </w:tc>
        <w:tc>
          <w:tcPr>
            <w:tcW w:w="1097" w:type="dxa"/>
            <w:vAlign w:val="center"/>
          </w:tcPr>
          <w:p w14:paraId="4B89AA53"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098" w:type="dxa"/>
            <w:vAlign w:val="center"/>
          </w:tcPr>
          <w:p w14:paraId="7B58088B"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097" w:type="dxa"/>
            <w:vAlign w:val="center"/>
          </w:tcPr>
          <w:p w14:paraId="7B4CA6E4" w14:textId="77777777" w:rsidR="00086BFE" w:rsidRPr="003C5180" w:rsidRDefault="00086BFE" w:rsidP="00B348AE">
            <w:pPr>
              <w:pStyle w:val="Header"/>
              <w:jc w:val="center"/>
              <w:rPr>
                <w:lang w:eastAsia="en-GB"/>
              </w:rPr>
            </w:pPr>
          </w:p>
        </w:tc>
        <w:tc>
          <w:tcPr>
            <w:tcW w:w="1103" w:type="dxa"/>
            <w:tcBorders>
              <w:right w:val="single" w:sz="4" w:space="0" w:color="auto"/>
            </w:tcBorders>
            <w:vAlign w:val="center"/>
          </w:tcPr>
          <w:p w14:paraId="46AB7655" w14:textId="77777777" w:rsidR="00086BFE" w:rsidRPr="003C5180" w:rsidRDefault="00086BFE" w:rsidP="00B348AE">
            <w:pPr>
              <w:pStyle w:val="Header"/>
              <w:jc w:val="center"/>
              <w:rPr>
                <w:lang w:eastAsia="en-GB"/>
              </w:rPr>
            </w:pPr>
          </w:p>
        </w:tc>
      </w:tr>
      <w:tr w:rsidR="00086BFE" w:rsidRPr="003C5180" w14:paraId="77C7FEA7" w14:textId="77777777" w:rsidTr="00ED2F59">
        <w:tc>
          <w:tcPr>
            <w:tcW w:w="2160" w:type="dxa"/>
            <w:vAlign w:val="center"/>
          </w:tcPr>
          <w:p w14:paraId="5DE577F6" w14:textId="77777777" w:rsidR="00086BFE" w:rsidRPr="003C5180" w:rsidRDefault="00086BFE" w:rsidP="00735601">
            <w:pPr>
              <w:jc w:val="center"/>
              <w:rPr>
                <w:lang w:eastAsia="en-GB"/>
              </w:rPr>
            </w:pPr>
            <w:r w:rsidRPr="003C5180">
              <w:rPr>
                <w:lang w:eastAsia="en-GB"/>
              </w:rPr>
              <w:t>MenB</w:t>
            </w:r>
          </w:p>
        </w:tc>
        <w:tc>
          <w:tcPr>
            <w:tcW w:w="2010" w:type="dxa"/>
            <w:vAlign w:val="center"/>
          </w:tcPr>
          <w:p w14:paraId="4737FB59" w14:textId="77777777" w:rsidR="00086BFE" w:rsidRPr="003C5180" w:rsidRDefault="00086BFE" w:rsidP="00735601">
            <w:pPr>
              <w:jc w:val="center"/>
              <w:rPr>
                <w:lang w:eastAsia="en-GB"/>
              </w:rPr>
            </w:pPr>
            <w:r w:rsidRPr="003C5180">
              <w:rPr>
                <w:lang w:eastAsia="en-GB"/>
              </w:rPr>
              <w:t>Bexsero®</w:t>
            </w:r>
          </w:p>
        </w:tc>
        <w:tc>
          <w:tcPr>
            <w:tcW w:w="1097" w:type="dxa"/>
            <w:vAlign w:val="center"/>
          </w:tcPr>
          <w:p w14:paraId="49B25D26"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098" w:type="dxa"/>
            <w:vAlign w:val="center"/>
          </w:tcPr>
          <w:p w14:paraId="5AAC5026" w14:textId="77777777" w:rsidR="00086BFE" w:rsidRPr="003C5180" w:rsidRDefault="00086BFE" w:rsidP="00B348AE">
            <w:pPr>
              <w:pStyle w:val="Header"/>
              <w:jc w:val="center"/>
              <w:rPr>
                <w:lang w:eastAsia="en-GB"/>
              </w:rPr>
            </w:pPr>
          </w:p>
        </w:tc>
        <w:tc>
          <w:tcPr>
            <w:tcW w:w="1097" w:type="dxa"/>
            <w:vAlign w:val="center"/>
          </w:tcPr>
          <w:p w14:paraId="1F8B9760"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103" w:type="dxa"/>
            <w:tcBorders>
              <w:right w:val="single" w:sz="4" w:space="0" w:color="auto"/>
            </w:tcBorders>
            <w:vAlign w:val="center"/>
          </w:tcPr>
          <w:p w14:paraId="493B01FC"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r>
      <w:tr w:rsidR="00086BFE" w:rsidRPr="003C5180" w14:paraId="6F00080C" w14:textId="77777777" w:rsidTr="00ED2F59">
        <w:tc>
          <w:tcPr>
            <w:tcW w:w="2160" w:type="dxa"/>
            <w:vAlign w:val="center"/>
          </w:tcPr>
          <w:p w14:paraId="4E815244" w14:textId="77777777" w:rsidR="00086BFE" w:rsidRPr="003C5180" w:rsidRDefault="00086BFE" w:rsidP="00B348AE">
            <w:pPr>
              <w:jc w:val="center"/>
              <w:rPr>
                <w:lang w:eastAsia="en-GB"/>
              </w:rPr>
            </w:pPr>
            <w:r w:rsidRPr="003C5180">
              <w:rPr>
                <w:lang w:eastAsia="en-GB"/>
              </w:rPr>
              <w:t>PCV13</w:t>
            </w:r>
          </w:p>
        </w:tc>
        <w:tc>
          <w:tcPr>
            <w:tcW w:w="2010" w:type="dxa"/>
            <w:vAlign w:val="center"/>
          </w:tcPr>
          <w:p w14:paraId="523DCF72" w14:textId="77777777" w:rsidR="00086BFE" w:rsidRPr="003C5180" w:rsidRDefault="00086BFE" w:rsidP="00B348AE">
            <w:pPr>
              <w:jc w:val="center"/>
              <w:rPr>
                <w:lang w:eastAsia="en-GB"/>
              </w:rPr>
            </w:pPr>
            <w:r w:rsidRPr="003C5180">
              <w:rPr>
                <w:lang w:eastAsia="en-GB"/>
              </w:rPr>
              <w:t>Prevenar13®</w:t>
            </w:r>
          </w:p>
        </w:tc>
        <w:tc>
          <w:tcPr>
            <w:tcW w:w="1097" w:type="dxa"/>
            <w:vAlign w:val="center"/>
          </w:tcPr>
          <w:p w14:paraId="284C32F7"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098" w:type="dxa"/>
            <w:vAlign w:val="center"/>
          </w:tcPr>
          <w:p w14:paraId="0E4BEC73" w14:textId="77777777" w:rsidR="00086BFE" w:rsidRPr="003C5180" w:rsidRDefault="00086BFE" w:rsidP="00B348AE">
            <w:pPr>
              <w:pStyle w:val="Header"/>
              <w:jc w:val="center"/>
              <w:rPr>
                <w:lang w:eastAsia="en-GB"/>
              </w:rPr>
            </w:pPr>
          </w:p>
        </w:tc>
        <w:tc>
          <w:tcPr>
            <w:tcW w:w="1097" w:type="dxa"/>
            <w:vAlign w:val="center"/>
          </w:tcPr>
          <w:p w14:paraId="11BAAC88"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c>
          <w:tcPr>
            <w:tcW w:w="1103" w:type="dxa"/>
            <w:tcBorders>
              <w:right w:val="single" w:sz="4" w:space="0" w:color="auto"/>
            </w:tcBorders>
            <w:vAlign w:val="center"/>
          </w:tcPr>
          <w:p w14:paraId="41798C16"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r>
      <w:tr w:rsidR="00086BFE" w:rsidRPr="003C5180" w14:paraId="222019A5" w14:textId="77777777" w:rsidTr="00ED2F59">
        <w:tc>
          <w:tcPr>
            <w:tcW w:w="2160" w:type="dxa"/>
            <w:vAlign w:val="center"/>
          </w:tcPr>
          <w:p w14:paraId="6F41AF50" w14:textId="77777777" w:rsidR="00086BFE" w:rsidRPr="003C5180" w:rsidRDefault="00086BFE" w:rsidP="00B348AE">
            <w:pPr>
              <w:jc w:val="center"/>
              <w:rPr>
                <w:lang w:eastAsia="en-GB"/>
              </w:rPr>
            </w:pPr>
            <w:r w:rsidRPr="003C5180">
              <w:rPr>
                <w:lang w:eastAsia="en-GB"/>
              </w:rPr>
              <w:t>MCC</w:t>
            </w:r>
            <w:r w:rsidR="00FA4DB7">
              <w:rPr>
                <w:lang w:eastAsia="en-GB"/>
              </w:rPr>
              <w:t>-TT</w:t>
            </w:r>
            <w:r w:rsidRPr="003C5180">
              <w:rPr>
                <w:lang w:eastAsia="en-GB"/>
              </w:rPr>
              <w:t>/Hib</w:t>
            </w:r>
            <w:r w:rsidR="00FA4DB7">
              <w:rPr>
                <w:lang w:eastAsia="en-GB"/>
              </w:rPr>
              <w:t>-TT</w:t>
            </w:r>
          </w:p>
        </w:tc>
        <w:tc>
          <w:tcPr>
            <w:tcW w:w="2010" w:type="dxa"/>
            <w:vAlign w:val="center"/>
          </w:tcPr>
          <w:p w14:paraId="45EF931D" w14:textId="77777777" w:rsidR="00086BFE" w:rsidRPr="003C5180" w:rsidRDefault="00086BFE" w:rsidP="00B348AE">
            <w:pPr>
              <w:jc w:val="center"/>
              <w:rPr>
                <w:lang w:eastAsia="en-GB"/>
              </w:rPr>
            </w:pPr>
            <w:r w:rsidRPr="003C5180">
              <w:rPr>
                <w:lang w:eastAsia="en-GB"/>
              </w:rPr>
              <w:t>Menitorix®</w:t>
            </w:r>
          </w:p>
        </w:tc>
        <w:tc>
          <w:tcPr>
            <w:tcW w:w="1097" w:type="dxa"/>
            <w:vAlign w:val="center"/>
          </w:tcPr>
          <w:p w14:paraId="12EB8D8A" w14:textId="77777777" w:rsidR="00086BFE" w:rsidRPr="003C5180" w:rsidRDefault="00086BFE" w:rsidP="00B348AE">
            <w:pPr>
              <w:pStyle w:val="Header"/>
              <w:jc w:val="center"/>
              <w:rPr>
                <w:lang w:eastAsia="en-GB"/>
              </w:rPr>
            </w:pPr>
          </w:p>
        </w:tc>
        <w:tc>
          <w:tcPr>
            <w:tcW w:w="1098" w:type="dxa"/>
            <w:vAlign w:val="center"/>
          </w:tcPr>
          <w:p w14:paraId="71A19DFA" w14:textId="77777777" w:rsidR="00086BFE" w:rsidRPr="003C5180" w:rsidRDefault="00086BFE" w:rsidP="00B348AE">
            <w:pPr>
              <w:pStyle w:val="Header"/>
              <w:jc w:val="center"/>
              <w:rPr>
                <w:lang w:eastAsia="en-GB"/>
              </w:rPr>
            </w:pPr>
          </w:p>
        </w:tc>
        <w:tc>
          <w:tcPr>
            <w:tcW w:w="1097" w:type="dxa"/>
            <w:vAlign w:val="center"/>
          </w:tcPr>
          <w:p w14:paraId="60367E86" w14:textId="77777777" w:rsidR="00086BFE" w:rsidRPr="003C5180" w:rsidRDefault="00086BFE" w:rsidP="00B348AE">
            <w:pPr>
              <w:pStyle w:val="Header"/>
              <w:jc w:val="center"/>
              <w:rPr>
                <w:lang w:eastAsia="en-GB"/>
              </w:rPr>
            </w:pPr>
          </w:p>
        </w:tc>
        <w:tc>
          <w:tcPr>
            <w:tcW w:w="1103" w:type="dxa"/>
            <w:tcBorders>
              <w:right w:val="single" w:sz="4" w:space="0" w:color="auto"/>
            </w:tcBorders>
            <w:vAlign w:val="center"/>
          </w:tcPr>
          <w:p w14:paraId="25A0BA84"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r>
      <w:tr w:rsidR="00086BFE" w:rsidRPr="003C5180" w14:paraId="2AB153E6" w14:textId="77777777" w:rsidTr="00ED2F59">
        <w:tc>
          <w:tcPr>
            <w:tcW w:w="2160" w:type="dxa"/>
            <w:vAlign w:val="center"/>
          </w:tcPr>
          <w:p w14:paraId="4484918D" w14:textId="77777777" w:rsidR="00086BFE" w:rsidRPr="003C5180" w:rsidRDefault="00086BFE" w:rsidP="00735601">
            <w:pPr>
              <w:jc w:val="center"/>
              <w:rPr>
                <w:lang w:eastAsia="en-GB"/>
              </w:rPr>
            </w:pPr>
            <w:r w:rsidRPr="003C5180">
              <w:rPr>
                <w:lang w:eastAsia="en-GB"/>
              </w:rPr>
              <w:t>MMR</w:t>
            </w:r>
          </w:p>
        </w:tc>
        <w:tc>
          <w:tcPr>
            <w:tcW w:w="2010" w:type="dxa"/>
            <w:vAlign w:val="center"/>
          </w:tcPr>
          <w:p w14:paraId="2CD0BA6C" w14:textId="77777777" w:rsidR="00086BFE" w:rsidRPr="003C5180" w:rsidRDefault="00086BFE" w:rsidP="00735601">
            <w:pPr>
              <w:pStyle w:val="Header"/>
              <w:jc w:val="center"/>
              <w:rPr>
                <w:lang w:eastAsia="en-GB"/>
              </w:rPr>
            </w:pPr>
            <w:r w:rsidRPr="003C5180">
              <w:rPr>
                <w:lang w:eastAsia="en-GB"/>
              </w:rPr>
              <w:t>Priorix®</w:t>
            </w:r>
          </w:p>
        </w:tc>
        <w:tc>
          <w:tcPr>
            <w:tcW w:w="1097" w:type="dxa"/>
            <w:vAlign w:val="center"/>
          </w:tcPr>
          <w:p w14:paraId="5E8C7FCC" w14:textId="77777777" w:rsidR="00086BFE" w:rsidRPr="003C5180" w:rsidRDefault="00086BFE" w:rsidP="00B348AE">
            <w:pPr>
              <w:pStyle w:val="Header"/>
              <w:jc w:val="center"/>
              <w:rPr>
                <w:lang w:eastAsia="en-GB"/>
              </w:rPr>
            </w:pPr>
          </w:p>
        </w:tc>
        <w:tc>
          <w:tcPr>
            <w:tcW w:w="1098" w:type="dxa"/>
            <w:vAlign w:val="center"/>
          </w:tcPr>
          <w:p w14:paraId="4F0FA8A6" w14:textId="77777777" w:rsidR="00086BFE" w:rsidRPr="003C5180" w:rsidRDefault="00086BFE" w:rsidP="00B348AE">
            <w:pPr>
              <w:pStyle w:val="Header"/>
              <w:jc w:val="center"/>
              <w:rPr>
                <w:lang w:eastAsia="en-GB"/>
              </w:rPr>
            </w:pPr>
          </w:p>
        </w:tc>
        <w:tc>
          <w:tcPr>
            <w:tcW w:w="1097" w:type="dxa"/>
            <w:vAlign w:val="center"/>
          </w:tcPr>
          <w:p w14:paraId="26C5C598" w14:textId="77777777" w:rsidR="00086BFE" w:rsidRPr="003C5180" w:rsidRDefault="00086BFE" w:rsidP="00B348AE">
            <w:pPr>
              <w:pStyle w:val="Header"/>
              <w:jc w:val="center"/>
              <w:rPr>
                <w:lang w:eastAsia="en-GB"/>
              </w:rPr>
            </w:pPr>
          </w:p>
        </w:tc>
        <w:tc>
          <w:tcPr>
            <w:tcW w:w="1103" w:type="dxa"/>
            <w:tcBorders>
              <w:right w:val="single" w:sz="4" w:space="0" w:color="auto"/>
            </w:tcBorders>
            <w:vAlign w:val="center"/>
          </w:tcPr>
          <w:p w14:paraId="0C3A112B" w14:textId="77777777" w:rsidR="00086BFE" w:rsidRPr="003C5180" w:rsidRDefault="00086BFE" w:rsidP="00B348AE">
            <w:pPr>
              <w:pStyle w:val="Header"/>
              <w:jc w:val="center"/>
              <w:rPr>
                <w:lang w:eastAsia="en-GB"/>
              </w:rPr>
            </w:pPr>
            <w:r w:rsidRPr="001905CA">
              <w:rPr>
                <w:rFonts w:ascii="Segoe UI Symbol" w:hAnsi="Segoe UI Symbol" w:cs="Segoe UI Symbol"/>
                <w:lang w:eastAsia="en-GB"/>
              </w:rPr>
              <w:t>✓</w:t>
            </w:r>
          </w:p>
        </w:tc>
      </w:tr>
    </w:tbl>
    <w:p w14:paraId="6FEC57A6" w14:textId="70C2FCF7" w:rsidR="00BD1825" w:rsidRDefault="00F14506" w:rsidP="003516E4">
      <w:pPr>
        <w:rPr>
          <w:lang w:eastAsia="en-GB"/>
        </w:rPr>
      </w:pPr>
      <w:r w:rsidRPr="003C5180">
        <w:rPr>
          <w:lang w:eastAsia="en-GB"/>
        </w:rPr>
        <w:t xml:space="preserve">Table 1: UK infant vaccination schedule (from </w:t>
      </w:r>
      <w:r w:rsidR="00F75B8E">
        <w:rPr>
          <w:lang w:eastAsia="en-GB"/>
        </w:rPr>
        <w:t>August 2017</w:t>
      </w:r>
      <w:r w:rsidRPr="003C5180">
        <w:rPr>
          <w:lang w:eastAsia="en-GB"/>
        </w:rPr>
        <w:t>)</w:t>
      </w:r>
      <w:bookmarkStart w:id="28" w:name="_Toc261532645"/>
      <w:bookmarkStart w:id="29" w:name="_Toc392772293"/>
      <w:bookmarkStart w:id="30" w:name="_Toc392772969"/>
      <w:r w:rsidR="00712212">
        <w:rPr>
          <w:lang w:eastAsia="en-GB"/>
        </w:rPr>
        <w:t xml:space="preserve"> </w:t>
      </w:r>
    </w:p>
    <w:p w14:paraId="58EB64E1" w14:textId="77777777" w:rsidR="003516E4" w:rsidRDefault="004571CC" w:rsidP="003516E4">
      <w:pPr>
        <w:rPr>
          <w:u w:val="single"/>
        </w:rPr>
      </w:pPr>
      <w:r w:rsidRPr="003516E4">
        <w:rPr>
          <w:sz w:val="24"/>
          <w:u w:val="single"/>
        </w:rPr>
        <w:t>Investigational Medicinal Product (IMP)</w:t>
      </w:r>
      <w:bookmarkEnd w:id="28"/>
      <w:bookmarkEnd w:id="29"/>
      <w:bookmarkEnd w:id="30"/>
      <w:r w:rsidR="003516E4" w:rsidRPr="003516E4">
        <w:rPr>
          <w:u w:val="single"/>
        </w:rPr>
        <w:t xml:space="preserve"> </w:t>
      </w:r>
    </w:p>
    <w:p w14:paraId="5989E307" w14:textId="77777777" w:rsidR="003516E4" w:rsidRPr="00637B97" w:rsidRDefault="003516E4" w:rsidP="003516E4">
      <w:pPr>
        <w:numPr>
          <w:ilvl w:val="0"/>
          <w:numId w:val="49"/>
        </w:numPr>
        <w:rPr>
          <w:u w:val="single"/>
        </w:rPr>
      </w:pPr>
      <w:r w:rsidRPr="003C5180">
        <w:t>Bexsero</w:t>
      </w:r>
      <w:r w:rsidRPr="003516E4">
        <w:rPr>
          <w:vertAlign w:val="superscript"/>
          <w:lang w:val="en-US"/>
        </w:rPr>
        <w:t>®</w:t>
      </w:r>
      <w:r w:rsidRPr="003C5180">
        <w:t xml:space="preserve"> </w:t>
      </w:r>
      <w:r w:rsidR="00867745">
        <w:t>(</w:t>
      </w:r>
      <w:r w:rsidR="00112880">
        <w:t>Manufactured by Glaxo Smith Kline</w:t>
      </w:r>
      <w:r w:rsidR="00867745">
        <w:t xml:space="preserve"> in Italy). </w:t>
      </w:r>
      <w:r w:rsidRPr="003C5180">
        <w:t xml:space="preserve">(MenB): a four component vaccine that protects against </w:t>
      </w:r>
      <w:r w:rsidRPr="003516E4">
        <w:rPr>
          <w:i/>
        </w:rPr>
        <w:t xml:space="preserve">Neisseria meningitidis </w:t>
      </w:r>
      <w:r w:rsidRPr="003C5180">
        <w:t>sero</w:t>
      </w:r>
      <w:r w:rsidR="000C1F99">
        <w:t>group</w:t>
      </w:r>
      <w:r w:rsidRPr="003C5180">
        <w:t xml:space="preserve"> B</w:t>
      </w:r>
    </w:p>
    <w:p w14:paraId="19D774D6" w14:textId="77777777" w:rsidR="004571CC" w:rsidRPr="003516E4" w:rsidRDefault="003516E4" w:rsidP="00F65B1B">
      <w:pPr>
        <w:pStyle w:val="Heading2"/>
        <w:numPr>
          <w:ilvl w:val="0"/>
          <w:numId w:val="0"/>
        </w:numPr>
        <w:ind w:firstLine="142"/>
        <w:rPr>
          <w:b w:val="0"/>
          <w:sz w:val="24"/>
          <w:u w:val="single"/>
        </w:rPr>
      </w:pPr>
      <w:bookmarkStart w:id="31" w:name="_Toc470102460"/>
      <w:r w:rsidRPr="003516E4">
        <w:rPr>
          <w:b w:val="0"/>
          <w:sz w:val="24"/>
          <w:u w:val="single"/>
        </w:rPr>
        <w:t>Non-investigational Medicinal Products (NIMPs)</w:t>
      </w:r>
      <w:bookmarkEnd w:id="31"/>
    </w:p>
    <w:p w14:paraId="79AA01CB" w14:textId="77777777" w:rsidR="00257819" w:rsidRDefault="00257819" w:rsidP="00586EF2">
      <w:pPr>
        <w:numPr>
          <w:ilvl w:val="0"/>
          <w:numId w:val="24"/>
        </w:numPr>
      </w:pPr>
      <w:r w:rsidRPr="003C5180">
        <w:t>Infanrix IPV/Hib</w:t>
      </w:r>
      <w:r w:rsidR="001138BB" w:rsidRPr="003C5180">
        <w:rPr>
          <w:vertAlign w:val="superscript"/>
          <w:lang w:val="en-US"/>
        </w:rPr>
        <w:t xml:space="preserve">® </w:t>
      </w:r>
      <w:r w:rsidR="001138BB" w:rsidRPr="003C5180">
        <w:rPr>
          <w:lang w:eastAsia="en-GB"/>
        </w:rPr>
        <w:t xml:space="preserve">(DTaP/IPV/Hib): a 5-in-1 combination vaccine that protects against diphtheria, tetanus, pertussis, polio and </w:t>
      </w:r>
      <w:r w:rsidR="001138BB" w:rsidRPr="003C5180">
        <w:rPr>
          <w:i/>
          <w:lang w:eastAsia="en-GB"/>
        </w:rPr>
        <w:t>Haemophilus influenzae</w:t>
      </w:r>
      <w:r w:rsidR="001138BB" w:rsidRPr="003C5180">
        <w:rPr>
          <w:lang w:eastAsia="en-GB"/>
        </w:rPr>
        <w:t xml:space="preserve"> serotype b (Hib)</w:t>
      </w:r>
    </w:p>
    <w:p w14:paraId="0A13B09A" w14:textId="77777777" w:rsidR="00821C19" w:rsidRDefault="00821C19" w:rsidP="00586EF2">
      <w:pPr>
        <w:numPr>
          <w:ilvl w:val="0"/>
          <w:numId w:val="24"/>
        </w:numPr>
      </w:pPr>
      <w:r>
        <w:rPr>
          <w:lang w:eastAsia="en-GB"/>
        </w:rPr>
        <w:t>Pediacel</w:t>
      </w:r>
      <w:r w:rsidRPr="003C5180">
        <w:rPr>
          <w:vertAlign w:val="superscript"/>
          <w:lang w:val="en-US"/>
        </w:rPr>
        <w:t>®</w:t>
      </w:r>
      <w:r w:rsidRPr="003C5180">
        <w:rPr>
          <w:lang w:eastAsia="en-GB"/>
        </w:rPr>
        <w:t xml:space="preserve">(DTaP/IPV/Hib): a 5-in-1 combination vaccine that protects against diphtheria, tetanus, pertussis, polio and </w:t>
      </w:r>
      <w:r w:rsidRPr="003C5180">
        <w:rPr>
          <w:i/>
          <w:lang w:eastAsia="en-GB"/>
        </w:rPr>
        <w:t>Haemophilus influenzae</w:t>
      </w:r>
      <w:r w:rsidRPr="003C5180">
        <w:rPr>
          <w:lang w:eastAsia="en-GB"/>
        </w:rPr>
        <w:t xml:space="preserve"> serotype b (Hib)</w:t>
      </w:r>
    </w:p>
    <w:p w14:paraId="306AAE22" w14:textId="77777777" w:rsidR="0089741A" w:rsidRPr="003C5180" w:rsidRDefault="0089741A" w:rsidP="00586EF2">
      <w:pPr>
        <w:numPr>
          <w:ilvl w:val="0"/>
          <w:numId w:val="24"/>
        </w:numPr>
      </w:pPr>
      <w:r>
        <w:rPr>
          <w:lang w:eastAsia="en-GB"/>
        </w:rPr>
        <w:t>Infanrix hexa</w:t>
      </w:r>
      <w:r w:rsidRPr="003C5180">
        <w:rPr>
          <w:vertAlign w:val="superscript"/>
          <w:lang w:val="en-US"/>
        </w:rPr>
        <w:t>®</w:t>
      </w:r>
      <w:r>
        <w:rPr>
          <w:lang w:eastAsia="en-GB"/>
        </w:rPr>
        <w:t xml:space="preserve">(DTaP/IPV/Hib/Hep B): a 6-in-1 combination vaccine that protects against diphtheria, tetanus, pertussis, polio, </w:t>
      </w:r>
      <w:r w:rsidRPr="00ED2F59">
        <w:rPr>
          <w:i/>
          <w:lang w:eastAsia="en-GB"/>
        </w:rPr>
        <w:t>Haemophilus influenza</w:t>
      </w:r>
      <w:r>
        <w:rPr>
          <w:i/>
          <w:lang w:eastAsia="en-GB"/>
        </w:rPr>
        <w:t>e</w:t>
      </w:r>
      <w:r>
        <w:rPr>
          <w:lang w:eastAsia="en-GB"/>
        </w:rPr>
        <w:t xml:space="preserve"> serotype b (Hib) and hepatitis B.</w:t>
      </w:r>
    </w:p>
    <w:p w14:paraId="07A70BF2" w14:textId="77777777" w:rsidR="00257819" w:rsidRPr="003C5180" w:rsidRDefault="00257819" w:rsidP="00586EF2">
      <w:pPr>
        <w:numPr>
          <w:ilvl w:val="0"/>
          <w:numId w:val="24"/>
        </w:numPr>
      </w:pPr>
      <w:r w:rsidRPr="003C5180">
        <w:t>Prevenar 13</w:t>
      </w:r>
      <w:r w:rsidR="001138BB" w:rsidRPr="003C5180">
        <w:rPr>
          <w:vertAlign w:val="superscript"/>
          <w:lang w:val="en-US"/>
        </w:rPr>
        <w:t xml:space="preserve">® </w:t>
      </w:r>
      <w:r w:rsidR="001138BB" w:rsidRPr="003C5180">
        <w:rPr>
          <w:lang w:eastAsia="en-GB"/>
        </w:rPr>
        <w:t>(PCV 13): a 13-valent pneumococcal conjugate vaccine that protects against 13 different pneumococcal serotypes (1, 3, 4, 5, 6A, 6B, 7F, 9V, 14, 18C, 19A, 19F and 23F)</w:t>
      </w:r>
    </w:p>
    <w:p w14:paraId="2E82023B" w14:textId="77777777" w:rsidR="00257819" w:rsidRPr="003C5180" w:rsidRDefault="00257819" w:rsidP="00586EF2">
      <w:pPr>
        <w:numPr>
          <w:ilvl w:val="0"/>
          <w:numId w:val="24"/>
        </w:numPr>
      </w:pPr>
      <w:r w:rsidRPr="003C5180">
        <w:t>Rotarix</w:t>
      </w:r>
      <w:r w:rsidR="001138BB" w:rsidRPr="003C5180">
        <w:rPr>
          <w:vertAlign w:val="superscript"/>
          <w:lang w:val="en-US"/>
        </w:rPr>
        <w:t>®</w:t>
      </w:r>
      <w:r w:rsidR="001138BB" w:rsidRPr="003C5180">
        <w:rPr>
          <w:lang w:val="en-US"/>
        </w:rPr>
        <w:t>:</w:t>
      </w:r>
      <w:r w:rsidR="001138BB" w:rsidRPr="003C5180">
        <w:rPr>
          <w:vertAlign w:val="superscript"/>
          <w:lang w:val="en-US"/>
        </w:rPr>
        <w:t xml:space="preserve"> </w:t>
      </w:r>
      <w:r w:rsidR="001138BB" w:rsidRPr="003C5180">
        <w:rPr>
          <w:lang w:eastAsia="en-GB"/>
        </w:rPr>
        <w:t>an oral vaccine containing live attenuated rotavirus that protects against rotavirus</w:t>
      </w:r>
    </w:p>
    <w:p w14:paraId="4C9C5791" w14:textId="77777777" w:rsidR="00257819" w:rsidRPr="003C5180" w:rsidRDefault="00257819" w:rsidP="00586EF2">
      <w:pPr>
        <w:numPr>
          <w:ilvl w:val="0"/>
          <w:numId w:val="24"/>
        </w:numPr>
      </w:pPr>
      <w:r w:rsidRPr="003C5180">
        <w:t>Menitorix</w:t>
      </w:r>
      <w:r w:rsidR="001138BB" w:rsidRPr="003C5180">
        <w:rPr>
          <w:vertAlign w:val="superscript"/>
          <w:lang w:val="en-US"/>
        </w:rPr>
        <w:t xml:space="preserve">® </w:t>
      </w:r>
      <w:r w:rsidR="001138BB" w:rsidRPr="003C5180">
        <w:rPr>
          <w:lang w:eastAsia="en-GB"/>
        </w:rPr>
        <w:t xml:space="preserve">(MCC-TT/Hib-TT): a combined </w:t>
      </w:r>
      <w:r w:rsidR="001138BB" w:rsidRPr="003C5180">
        <w:rPr>
          <w:i/>
          <w:lang w:eastAsia="en-GB"/>
        </w:rPr>
        <w:t>Haemophilus influenzae</w:t>
      </w:r>
      <w:r w:rsidR="001138BB" w:rsidRPr="003C5180">
        <w:rPr>
          <w:lang w:eastAsia="en-GB"/>
        </w:rPr>
        <w:t xml:space="preserve"> serotype b (Hib) and meningococcal serogroup C conjugate vaccine where the capsular polysaccharides of both organisms are covalently linked to tetanus toxoid carriers</w:t>
      </w:r>
    </w:p>
    <w:p w14:paraId="24D8301E" w14:textId="77777777" w:rsidR="001138BB" w:rsidRPr="003C5180" w:rsidRDefault="00257819" w:rsidP="00586EF2">
      <w:pPr>
        <w:numPr>
          <w:ilvl w:val="0"/>
          <w:numId w:val="24"/>
        </w:numPr>
      </w:pPr>
      <w:r w:rsidRPr="003C5180">
        <w:t>Priorix</w:t>
      </w:r>
      <w:r w:rsidR="001138BB" w:rsidRPr="003C5180">
        <w:rPr>
          <w:vertAlign w:val="superscript"/>
          <w:lang w:val="en-US"/>
        </w:rPr>
        <w:t xml:space="preserve">® </w:t>
      </w:r>
      <w:r w:rsidR="001138BB" w:rsidRPr="003C5180">
        <w:rPr>
          <w:lang w:eastAsia="en-GB"/>
        </w:rPr>
        <w:t>(MMR): a live attenuated vaccine that protects against measles, mumps and rubella</w:t>
      </w:r>
    </w:p>
    <w:p w14:paraId="14BAAB98" w14:textId="77777777" w:rsidR="001138BB" w:rsidRPr="003C5180" w:rsidRDefault="001138BB" w:rsidP="00637B97">
      <w:pPr>
        <w:jc w:val="both"/>
        <w:rPr>
          <w:vertAlign w:val="superscript"/>
          <w:lang w:val="en-US"/>
        </w:rPr>
      </w:pPr>
      <w:r w:rsidRPr="003C5180">
        <w:rPr>
          <w:lang w:eastAsia="en-GB"/>
        </w:rPr>
        <w:t xml:space="preserve">All </w:t>
      </w:r>
      <w:r w:rsidR="00FA4DB7">
        <w:rPr>
          <w:lang w:eastAsia="en-GB"/>
        </w:rPr>
        <w:t xml:space="preserve">the above </w:t>
      </w:r>
      <w:r w:rsidRPr="003C5180">
        <w:rPr>
          <w:lang w:eastAsia="en-GB"/>
        </w:rPr>
        <w:t xml:space="preserve">vaccines are licensed for routine childhood immunisation in the UK. The Summary of </w:t>
      </w:r>
      <w:r w:rsidR="00FA4DB7">
        <w:rPr>
          <w:lang w:eastAsia="en-GB"/>
        </w:rPr>
        <w:t xml:space="preserve">medical </w:t>
      </w:r>
      <w:r w:rsidRPr="003C5180">
        <w:rPr>
          <w:lang w:eastAsia="en-GB"/>
        </w:rPr>
        <w:t>Product Characteristics (S</w:t>
      </w:r>
      <w:r w:rsidR="00FA4DB7">
        <w:rPr>
          <w:lang w:eastAsia="en-GB"/>
        </w:rPr>
        <w:t>m</w:t>
      </w:r>
      <w:r w:rsidRPr="003C5180">
        <w:rPr>
          <w:lang w:eastAsia="en-GB"/>
        </w:rPr>
        <w:t>PC) for each of the vaccines will be included in the Investigator Site File (ISF) and the Trial Master File (TMF).</w:t>
      </w:r>
    </w:p>
    <w:p w14:paraId="58559EA3" w14:textId="77777777" w:rsidR="004571CC" w:rsidRPr="003C5180" w:rsidRDefault="005D0383" w:rsidP="00793CA2">
      <w:pPr>
        <w:pStyle w:val="Heading2"/>
        <w:numPr>
          <w:ilvl w:val="0"/>
          <w:numId w:val="0"/>
        </w:numPr>
        <w:rPr>
          <w:rFonts w:cs="Tahoma"/>
          <w:sz w:val="24"/>
        </w:rPr>
      </w:pPr>
      <w:bookmarkStart w:id="32" w:name="_Toc392772295"/>
      <w:bookmarkStart w:id="33" w:name="_Toc392772971"/>
      <w:bookmarkStart w:id="34" w:name="_Toc470102461"/>
      <w:r w:rsidRPr="003C5180">
        <w:rPr>
          <w:rFonts w:cs="Tahoma"/>
          <w:sz w:val="24"/>
        </w:rPr>
        <w:t>Study Rationale</w:t>
      </w:r>
      <w:r w:rsidR="00564824" w:rsidRPr="003C5180">
        <w:rPr>
          <w:rFonts w:cs="Tahoma"/>
          <w:sz w:val="24"/>
        </w:rPr>
        <w:t xml:space="preserve"> and risk/benefit analysis</w:t>
      </w:r>
      <w:bookmarkEnd w:id="32"/>
      <w:bookmarkEnd w:id="33"/>
      <w:bookmarkEnd w:id="34"/>
    </w:p>
    <w:p w14:paraId="67B3CACC" w14:textId="036F9661" w:rsidR="0069550F" w:rsidRPr="003C5180" w:rsidRDefault="0069550F" w:rsidP="0069550F">
      <w:pPr>
        <w:jc w:val="both"/>
        <w:rPr>
          <w:lang w:eastAsia="en-GB"/>
        </w:rPr>
      </w:pPr>
      <w:r w:rsidRPr="003C5180">
        <w:rPr>
          <w:lang w:eastAsia="en-GB"/>
        </w:rPr>
        <w:t>This study is being undertaken to compare the immune responses of preterm infants who are vaccinated according to two different schedules. There is evidence that preterm infants respond less well to vaccinations than t</w:t>
      </w:r>
      <w:r w:rsidR="00793CA2" w:rsidRPr="003C5180">
        <w:rPr>
          <w:lang w:eastAsia="en-GB"/>
        </w:rPr>
        <w:t>heir term counterparts for some</w:t>
      </w:r>
      <w:r w:rsidRPr="003C5180">
        <w:rPr>
          <w:lang w:eastAsia="en-GB"/>
        </w:rPr>
        <w:t xml:space="preserve"> vaccines and this has not previously</w:t>
      </w:r>
      <w:r w:rsidR="00804C99">
        <w:rPr>
          <w:lang w:eastAsia="en-GB"/>
        </w:rPr>
        <w:t xml:space="preserve"> been</w:t>
      </w:r>
      <w:r w:rsidRPr="003C5180">
        <w:rPr>
          <w:lang w:eastAsia="en-GB"/>
        </w:rPr>
        <w:t xml:space="preserve"> </w:t>
      </w:r>
      <w:r w:rsidR="00F75B8E">
        <w:rPr>
          <w:lang w:eastAsia="en-GB"/>
        </w:rPr>
        <w:t>studie</w:t>
      </w:r>
      <w:r w:rsidR="00F16A74">
        <w:rPr>
          <w:lang w:eastAsia="en-GB"/>
        </w:rPr>
        <w:t>d</w:t>
      </w:r>
      <w:r w:rsidRPr="003C5180">
        <w:rPr>
          <w:lang w:eastAsia="en-GB"/>
        </w:rPr>
        <w:t xml:space="preserve"> for </w:t>
      </w:r>
      <w:r w:rsidR="00B51670">
        <w:rPr>
          <w:lang w:eastAsia="en-GB"/>
        </w:rPr>
        <w:t>Bexsero®</w:t>
      </w:r>
      <w:r w:rsidRPr="003C5180">
        <w:rPr>
          <w:lang w:eastAsia="en-GB"/>
        </w:rPr>
        <w:t>. The clinical trial will only use vaccines that have been licensed for routine childhood immunisation in the UK. One group will receive vaccinations according to the UK schedule and the other will receive vaccinatio</w:t>
      </w:r>
      <w:r w:rsidR="000C680B" w:rsidRPr="003C5180">
        <w:rPr>
          <w:lang w:eastAsia="en-GB"/>
        </w:rPr>
        <w:t xml:space="preserve">ns according </w:t>
      </w:r>
      <w:r w:rsidR="00EC7DEA">
        <w:rPr>
          <w:lang w:eastAsia="en-GB"/>
        </w:rPr>
        <w:t xml:space="preserve">to </w:t>
      </w:r>
      <w:r w:rsidR="000C680B" w:rsidRPr="003C5180">
        <w:rPr>
          <w:lang w:eastAsia="en-GB"/>
        </w:rPr>
        <w:t>the original licenc</w:t>
      </w:r>
      <w:r w:rsidRPr="003C5180">
        <w:rPr>
          <w:lang w:eastAsia="en-GB"/>
        </w:rPr>
        <w:t>e. Because the infants enrolled in the study would ha</w:t>
      </w:r>
      <w:r w:rsidR="00793CA2" w:rsidRPr="003C5180">
        <w:rPr>
          <w:lang w:eastAsia="en-GB"/>
        </w:rPr>
        <w:t>ve received the same vaccines as</w:t>
      </w:r>
      <w:r w:rsidRPr="003C5180">
        <w:rPr>
          <w:lang w:eastAsia="en-GB"/>
        </w:rPr>
        <w:t xml:space="preserve"> part of their routine immunisation, this study is unlikely to be associated with any added risk of adverse events. </w:t>
      </w:r>
      <w:r w:rsidR="00A502B3">
        <w:rPr>
          <w:lang w:eastAsia="en-GB"/>
        </w:rPr>
        <w:t>Blood sampling will be performed by appropriately trained members of the research team and the volume of blood obtained at each visit will not exceed 1% of the infant’</w:t>
      </w:r>
      <w:r w:rsidR="00175BAF">
        <w:rPr>
          <w:lang w:eastAsia="en-GB"/>
        </w:rPr>
        <w:t>s circulating blood volume</w:t>
      </w:r>
      <w:r w:rsidR="00FA4DB7">
        <w:rPr>
          <w:lang w:eastAsia="en-GB"/>
        </w:rPr>
        <w:t>, based on</w:t>
      </w:r>
      <w:r w:rsidR="00175BAF">
        <w:rPr>
          <w:lang w:eastAsia="en-GB"/>
        </w:rPr>
        <w:t xml:space="preserve"> a</w:t>
      </w:r>
      <w:r w:rsidR="00FA4DB7">
        <w:rPr>
          <w:lang w:eastAsia="en-GB"/>
        </w:rPr>
        <w:t>n estimated</w:t>
      </w:r>
      <w:r w:rsidR="00175BAF">
        <w:rPr>
          <w:lang w:eastAsia="en-GB"/>
        </w:rPr>
        <w:t xml:space="preserve"> </w:t>
      </w:r>
      <w:r w:rsidR="00FA4DB7">
        <w:rPr>
          <w:lang w:eastAsia="en-GB"/>
        </w:rPr>
        <w:t xml:space="preserve">total </w:t>
      </w:r>
      <w:r w:rsidR="00175BAF">
        <w:rPr>
          <w:lang w:eastAsia="en-GB"/>
        </w:rPr>
        <w:t xml:space="preserve">circulating blood volume value </w:t>
      </w:r>
      <w:r w:rsidR="00FA4DB7">
        <w:rPr>
          <w:lang w:eastAsia="en-GB"/>
        </w:rPr>
        <w:t xml:space="preserve">for preterm infants </w:t>
      </w:r>
      <w:r w:rsidR="00175BAF">
        <w:rPr>
          <w:lang w:eastAsia="en-GB"/>
        </w:rPr>
        <w:t>of 90</w:t>
      </w:r>
      <w:r w:rsidR="00FA4DB7">
        <w:rPr>
          <w:lang w:eastAsia="en-GB"/>
        </w:rPr>
        <w:t xml:space="preserve"> </w:t>
      </w:r>
      <w:r w:rsidR="00175BAF">
        <w:rPr>
          <w:lang w:eastAsia="en-GB"/>
        </w:rPr>
        <w:t>m</w:t>
      </w:r>
      <w:r w:rsidR="00FA4DB7">
        <w:rPr>
          <w:lang w:eastAsia="en-GB"/>
        </w:rPr>
        <w:t>L</w:t>
      </w:r>
      <w:r w:rsidR="00175BAF">
        <w:rPr>
          <w:lang w:eastAsia="en-GB"/>
        </w:rPr>
        <w:t>/kg.</w:t>
      </w:r>
    </w:p>
    <w:p w14:paraId="7777F06A" w14:textId="77777777" w:rsidR="004571CC" w:rsidRPr="003C5180" w:rsidRDefault="00835A47" w:rsidP="0069550F">
      <w:pPr>
        <w:jc w:val="both"/>
        <w:rPr>
          <w:b/>
          <w:lang w:eastAsia="en-GB"/>
        </w:rPr>
      </w:pPr>
      <w:bookmarkStart w:id="35" w:name="_Toc261532655"/>
      <w:bookmarkStart w:id="36" w:name="_Toc392772296"/>
      <w:bookmarkStart w:id="37" w:name="_Toc392772972"/>
      <w:r w:rsidRPr="003C5180">
        <w:rPr>
          <w:b/>
          <w:lang w:eastAsia="en-GB"/>
        </w:rPr>
        <w:t>Assessment &amp; m</w:t>
      </w:r>
      <w:r w:rsidR="004571CC" w:rsidRPr="003C5180">
        <w:rPr>
          <w:b/>
          <w:lang w:eastAsia="en-GB"/>
        </w:rPr>
        <w:t xml:space="preserve">anagement of </w:t>
      </w:r>
      <w:r w:rsidR="005D0383" w:rsidRPr="003C5180">
        <w:rPr>
          <w:b/>
          <w:lang w:eastAsia="en-GB"/>
        </w:rPr>
        <w:t xml:space="preserve">potential </w:t>
      </w:r>
      <w:r w:rsidR="004571CC" w:rsidRPr="003C5180">
        <w:rPr>
          <w:b/>
          <w:lang w:eastAsia="en-GB"/>
        </w:rPr>
        <w:t>risk</w:t>
      </w:r>
      <w:bookmarkEnd w:id="35"/>
      <w:bookmarkEnd w:id="36"/>
      <w:bookmarkEnd w:id="37"/>
    </w:p>
    <w:p w14:paraId="4F4EF975" w14:textId="77777777" w:rsidR="0069550F" w:rsidRPr="003C5180" w:rsidRDefault="0069550F" w:rsidP="00564824">
      <w:pPr>
        <w:jc w:val="both"/>
        <w:rPr>
          <w:lang w:eastAsia="en-GB"/>
        </w:rPr>
      </w:pPr>
      <w:r w:rsidRPr="003C5180">
        <w:rPr>
          <w:lang w:eastAsia="en-GB"/>
        </w:rPr>
        <w:t>There is always a small risk of an adverse reaction following vaccination and this will be explained to parents, but th</w:t>
      </w:r>
      <w:r w:rsidR="00327FD0">
        <w:rPr>
          <w:lang w:eastAsia="en-GB"/>
        </w:rPr>
        <w:t xml:space="preserve">e </w:t>
      </w:r>
      <w:r w:rsidR="00DD27A0">
        <w:rPr>
          <w:lang w:eastAsia="en-GB"/>
        </w:rPr>
        <w:t>per dose</w:t>
      </w:r>
      <w:r w:rsidRPr="003C5180">
        <w:rPr>
          <w:lang w:eastAsia="en-GB"/>
        </w:rPr>
        <w:t xml:space="preserve"> risk will not be greater for infants in this study compared to those who receive routine care. </w:t>
      </w:r>
      <w:r w:rsidR="00821C19">
        <w:rPr>
          <w:lang w:eastAsia="en-GB"/>
        </w:rPr>
        <w:t xml:space="preserve">The </w:t>
      </w:r>
      <w:r w:rsidR="00B51670">
        <w:rPr>
          <w:lang w:eastAsia="en-GB"/>
        </w:rPr>
        <w:t>Bexsero®</w:t>
      </w:r>
      <w:r w:rsidR="00821C19">
        <w:rPr>
          <w:lang w:eastAsia="en-GB"/>
        </w:rPr>
        <w:t xml:space="preserve"> vaccine is particularly associated with fever following vaccination and parents will receive advice about this. </w:t>
      </w:r>
    </w:p>
    <w:p w14:paraId="23C4ED86" w14:textId="77777777" w:rsidR="00E472B0" w:rsidRPr="003C5180" w:rsidRDefault="00E472B0" w:rsidP="00564824">
      <w:pPr>
        <w:jc w:val="both"/>
        <w:rPr>
          <w:lang w:eastAsia="en-GB"/>
        </w:rPr>
      </w:pPr>
      <w:r w:rsidRPr="003C5180">
        <w:rPr>
          <w:lang w:eastAsia="en-GB"/>
        </w:rPr>
        <w:t xml:space="preserve">Vaccines will be given by experienced medical or nursing staff who are trained in how to manage an allergic reaction following vaccination and who will have with them emergency equipment according to their local SOPs. </w:t>
      </w:r>
    </w:p>
    <w:p w14:paraId="54D8F65C" w14:textId="6FB41E98" w:rsidR="00E472B0" w:rsidRPr="003C5180" w:rsidRDefault="00E472B0" w:rsidP="00564824">
      <w:pPr>
        <w:jc w:val="both"/>
        <w:rPr>
          <w:lang w:eastAsia="en-GB"/>
        </w:rPr>
      </w:pPr>
      <w:r w:rsidRPr="003C5180">
        <w:rPr>
          <w:lang w:eastAsia="en-GB"/>
        </w:rPr>
        <w:t xml:space="preserve">The parents/legal guardians of the study infants will be asked to record in a diary card any symptoms or illness occurring up to </w:t>
      </w:r>
      <w:r w:rsidR="006D1C0C">
        <w:rPr>
          <w:lang w:eastAsia="en-GB"/>
        </w:rPr>
        <w:t>7</w:t>
      </w:r>
      <w:r w:rsidR="006D1C0C" w:rsidRPr="003C5180">
        <w:rPr>
          <w:lang w:eastAsia="en-GB"/>
        </w:rPr>
        <w:t xml:space="preserve"> </w:t>
      </w:r>
      <w:r w:rsidRPr="003C5180">
        <w:rPr>
          <w:lang w:eastAsia="en-GB"/>
        </w:rPr>
        <w:t xml:space="preserve">days after the </w:t>
      </w:r>
      <w:r w:rsidR="00B51670">
        <w:rPr>
          <w:lang w:eastAsia="en-GB"/>
        </w:rPr>
        <w:t>Bexsero®</w:t>
      </w:r>
      <w:r w:rsidR="006D1C0C" w:rsidRPr="003C5180">
        <w:rPr>
          <w:lang w:eastAsia="en-GB"/>
        </w:rPr>
        <w:t xml:space="preserve"> </w:t>
      </w:r>
      <w:r w:rsidRPr="003C5180">
        <w:rPr>
          <w:lang w:eastAsia="en-GB"/>
        </w:rPr>
        <w:t xml:space="preserve">vaccine is administered. </w:t>
      </w:r>
      <w:r w:rsidR="00861ADC">
        <w:rPr>
          <w:lang w:eastAsia="en-GB"/>
        </w:rPr>
        <w:t xml:space="preserve">This will include local reactions, general reactions and episodes of fever. </w:t>
      </w:r>
      <w:r w:rsidRPr="003C5180">
        <w:rPr>
          <w:lang w:eastAsia="en-GB"/>
        </w:rPr>
        <w:t>Parents/legal guardians will also be provided with a 24-hour telephone number to contact in case of any queries or concerns</w:t>
      </w:r>
      <w:r w:rsidR="00327FD0">
        <w:rPr>
          <w:lang w:eastAsia="en-GB"/>
        </w:rPr>
        <w:t xml:space="preserve"> and will be asked to contact the study team in the event of serious illness or illness requiring hospitalisation which will allow early identification of serious adverse events</w:t>
      </w:r>
      <w:r w:rsidR="00F75B8E">
        <w:rPr>
          <w:lang w:eastAsia="en-GB"/>
        </w:rPr>
        <w:t>.</w:t>
      </w:r>
      <w:r w:rsidR="00327FD0" w:rsidRPr="00327FD0">
        <w:rPr>
          <w:lang w:eastAsia="en-GB"/>
        </w:rPr>
        <w:t xml:space="preserve"> </w:t>
      </w:r>
      <w:r w:rsidR="00327FD0">
        <w:rPr>
          <w:lang w:eastAsia="en-GB"/>
        </w:rPr>
        <w:t xml:space="preserve">In addition all illnesses will be enquired about at each study visit so that all adverse events, </w:t>
      </w:r>
      <w:r w:rsidR="00BD1406">
        <w:rPr>
          <w:lang w:eastAsia="en-GB"/>
        </w:rPr>
        <w:t xml:space="preserve">which are not solicited in the diary card, can be recorded. Solicited adverse events recorded in the diary card (e.g fever in the 7 days post vaccination, redness at the vaccine site etc.) do not need to be recorded </w:t>
      </w:r>
      <w:r w:rsidR="0009567E">
        <w:rPr>
          <w:lang w:eastAsia="en-GB"/>
        </w:rPr>
        <w:t>in the adverse events log</w:t>
      </w:r>
      <w:r w:rsidR="00BD1406">
        <w:rPr>
          <w:lang w:eastAsia="en-GB"/>
        </w:rPr>
        <w:t xml:space="preserve">. </w:t>
      </w:r>
      <w:r w:rsidR="00804C99">
        <w:rPr>
          <w:lang w:eastAsia="en-GB"/>
        </w:rPr>
        <w:t xml:space="preserve">Information about all SAEs occurring at any time within the study period </w:t>
      </w:r>
      <w:r w:rsidR="00BD1406">
        <w:rPr>
          <w:lang w:eastAsia="en-GB"/>
        </w:rPr>
        <w:t xml:space="preserve">(i.e. after consent has been taken) </w:t>
      </w:r>
      <w:r w:rsidR="00804C99">
        <w:rPr>
          <w:lang w:eastAsia="en-GB"/>
        </w:rPr>
        <w:t>will be collected.</w:t>
      </w:r>
    </w:p>
    <w:p w14:paraId="2270089B" w14:textId="1D0C8D78" w:rsidR="006D1C0C" w:rsidRDefault="006D1C0C" w:rsidP="006D1C0C">
      <w:pPr>
        <w:pStyle w:val="NormalWeb"/>
        <w:spacing w:after="120" w:line="300" w:lineRule="exact"/>
        <w:rPr>
          <w:rFonts w:ascii="Calibri" w:eastAsia="Times New Roman" w:hAnsi="Calibri" w:cs="Times New Roman"/>
          <w:sz w:val="23"/>
          <w:lang w:eastAsia="en-GB"/>
        </w:rPr>
      </w:pPr>
      <w:r w:rsidRPr="00F942F8">
        <w:rPr>
          <w:rFonts w:ascii="Calibri" w:eastAsia="Times New Roman" w:hAnsi="Calibri" w:cs="Times New Roman"/>
          <w:sz w:val="23"/>
          <w:lang w:eastAsia="en-GB"/>
        </w:rPr>
        <w:t>According to the MRC/DH/MHRA Joint Project on Risk-adapted Approaches to the Management of Clinical Trials of IMPs (October 2011), t</w:t>
      </w:r>
      <w:r w:rsidR="000E39E8" w:rsidRPr="00F942F8">
        <w:rPr>
          <w:rFonts w:ascii="Calibri" w:eastAsia="Times New Roman" w:hAnsi="Calibri" w:cs="Times New Roman"/>
          <w:sz w:val="23"/>
          <w:lang w:eastAsia="en-GB"/>
        </w:rPr>
        <w:t>his trial is categorised as</w:t>
      </w:r>
      <w:r w:rsidRPr="00F942F8">
        <w:rPr>
          <w:rFonts w:ascii="Calibri" w:eastAsia="Times New Roman" w:hAnsi="Calibri" w:cs="Times New Roman"/>
          <w:sz w:val="23"/>
          <w:lang w:eastAsia="en-GB"/>
        </w:rPr>
        <w:t xml:space="preserve"> </w:t>
      </w:r>
      <w:r w:rsidR="000E39E8" w:rsidRPr="00F942F8">
        <w:rPr>
          <w:rFonts w:ascii="Calibri" w:eastAsia="Times New Roman" w:hAnsi="Calibri" w:cs="Times New Roman"/>
          <w:sz w:val="23"/>
          <w:lang w:eastAsia="en-GB"/>
        </w:rPr>
        <w:t xml:space="preserve">Type A </w:t>
      </w:r>
      <w:r w:rsidRPr="00F942F8">
        <w:rPr>
          <w:rFonts w:ascii="Calibri" w:eastAsia="Times New Roman" w:hAnsi="Calibri" w:cs="Times New Roman"/>
          <w:sz w:val="23"/>
          <w:lang w:eastAsia="en-GB"/>
        </w:rPr>
        <w:t>(Risk n</w:t>
      </w:r>
      <w:r w:rsidR="000E39E8" w:rsidRPr="00F942F8">
        <w:rPr>
          <w:rFonts w:ascii="Calibri" w:eastAsia="Times New Roman" w:hAnsi="Calibri" w:cs="Times New Roman"/>
          <w:sz w:val="23"/>
          <w:lang w:eastAsia="en-GB"/>
        </w:rPr>
        <w:t xml:space="preserve">o higher than </w:t>
      </w:r>
      <w:r w:rsidRPr="00F942F8">
        <w:rPr>
          <w:rFonts w:ascii="Calibri" w:eastAsia="Times New Roman" w:hAnsi="Calibri" w:cs="Times New Roman"/>
          <w:sz w:val="23"/>
          <w:lang w:eastAsia="en-GB"/>
        </w:rPr>
        <w:t>that</w:t>
      </w:r>
      <w:r w:rsidR="000E39E8" w:rsidRPr="00F942F8">
        <w:rPr>
          <w:rFonts w:ascii="Calibri" w:eastAsia="Times New Roman" w:hAnsi="Calibri" w:cs="Times New Roman"/>
          <w:sz w:val="23"/>
          <w:lang w:eastAsia="en-GB"/>
        </w:rPr>
        <w:t xml:space="preserve"> of standard medical care</w:t>
      </w:r>
      <w:r w:rsidRPr="00F942F8">
        <w:rPr>
          <w:rFonts w:ascii="Calibri" w:eastAsia="Times New Roman" w:hAnsi="Calibri" w:cs="Times New Roman"/>
          <w:sz w:val="23"/>
          <w:lang w:eastAsia="en-GB"/>
        </w:rPr>
        <w:t>).</w:t>
      </w:r>
      <w:r w:rsidR="000E39E8" w:rsidRPr="00F942F8">
        <w:rPr>
          <w:rFonts w:ascii="Calibri" w:eastAsia="Times New Roman" w:hAnsi="Calibri" w:cs="Times New Roman"/>
          <w:sz w:val="23"/>
          <w:lang w:eastAsia="en-GB"/>
        </w:rPr>
        <w:t xml:space="preserve"> </w:t>
      </w:r>
      <w:r w:rsidR="00EB48D5">
        <w:rPr>
          <w:rFonts w:ascii="Calibri" w:eastAsia="Times New Roman" w:hAnsi="Calibri" w:cs="Times New Roman"/>
          <w:sz w:val="23"/>
          <w:lang w:eastAsia="en-GB"/>
        </w:rPr>
        <w:t xml:space="preserve"> Bexsero  will be dispensed  in accordance with a prescription given by an authorised healthcare professional and will be labelled in accordance with the requirements of Schedule 5 to the Medicines for Human Use  (Marketing Authorisations Etc) Regulations 1994 (b) that apply in relation to dispensed relevant  medicinal products.  A  Sponsor approved prescription template will be provided to participating </w:t>
      </w:r>
      <w:r w:rsidR="0013526D">
        <w:rPr>
          <w:rFonts w:ascii="Calibri" w:eastAsia="Times New Roman" w:hAnsi="Calibri" w:cs="Times New Roman"/>
          <w:sz w:val="23"/>
          <w:lang w:eastAsia="en-GB"/>
        </w:rPr>
        <w:t>sites to prompt appropriate documentation</w:t>
      </w:r>
      <w:r w:rsidR="00EB48D5">
        <w:rPr>
          <w:rFonts w:ascii="Calibri" w:eastAsia="Times New Roman" w:hAnsi="Calibri" w:cs="Times New Roman"/>
          <w:sz w:val="23"/>
          <w:lang w:eastAsia="en-GB"/>
        </w:rPr>
        <w:t xml:space="preserve"> in the Pharmacy Site </w:t>
      </w:r>
      <w:r w:rsidR="0013526D">
        <w:rPr>
          <w:rFonts w:ascii="Calibri" w:eastAsia="Times New Roman" w:hAnsi="Calibri" w:cs="Times New Roman"/>
          <w:sz w:val="23"/>
          <w:lang w:eastAsia="en-GB"/>
        </w:rPr>
        <w:t>file.</w:t>
      </w:r>
    </w:p>
    <w:p w14:paraId="07A58AC5" w14:textId="77777777" w:rsidR="004571CC" w:rsidRPr="003C5180" w:rsidRDefault="004571CC" w:rsidP="00D008CA">
      <w:pPr>
        <w:pStyle w:val="Heading1"/>
        <w:numPr>
          <w:ilvl w:val="0"/>
          <w:numId w:val="3"/>
        </w:numPr>
        <w:rPr>
          <w:rFonts w:ascii="Calibri" w:hAnsi="Calibri"/>
          <w:szCs w:val="28"/>
        </w:rPr>
      </w:pPr>
      <w:bookmarkStart w:id="38" w:name="_Toc261532660"/>
      <w:bookmarkStart w:id="39" w:name="_Toc470102462"/>
      <w:r w:rsidRPr="003C5180">
        <w:rPr>
          <w:rFonts w:ascii="Calibri" w:hAnsi="Calibri"/>
          <w:szCs w:val="28"/>
        </w:rPr>
        <w:t>Trial design</w:t>
      </w:r>
      <w:bookmarkEnd w:id="38"/>
      <w:bookmarkEnd w:id="39"/>
    </w:p>
    <w:p w14:paraId="74C94DC7" w14:textId="77777777" w:rsidR="00E472B0" w:rsidRPr="003C5180" w:rsidRDefault="004571CC" w:rsidP="00586EF2">
      <w:pPr>
        <w:pStyle w:val="Heading2"/>
        <w:numPr>
          <w:ilvl w:val="1"/>
          <w:numId w:val="15"/>
        </w:numPr>
        <w:rPr>
          <w:rFonts w:cs="Tahoma"/>
          <w:sz w:val="24"/>
          <w:lang w:eastAsia="en-GB"/>
        </w:rPr>
      </w:pPr>
      <w:bookmarkStart w:id="40" w:name="_Toc261532661"/>
      <w:bookmarkStart w:id="41" w:name="_Toc470102463"/>
      <w:r w:rsidRPr="003C5180">
        <w:rPr>
          <w:rFonts w:cs="Tahoma"/>
          <w:sz w:val="24"/>
          <w:lang w:eastAsia="en-GB"/>
        </w:rPr>
        <w:t>Overall design</w:t>
      </w:r>
      <w:bookmarkEnd w:id="40"/>
      <w:bookmarkEnd w:id="41"/>
    </w:p>
    <w:p w14:paraId="69B9BD8E" w14:textId="77777777" w:rsidR="00E472B0" w:rsidRPr="003C5180" w:rsidRDefault="00E472B0" w:rsidP="00E472B0">
      <w:pPr>
        <w:widowControl w:val="0"/>
        <w:tabs>
          <w:tab w:val="num" w:pos="426"/>
          <w:tab w:val="num" w:pos="644"/>
        </w:tabs>
        <w:spacing w:after="200"/>
        <w:ind w:left="34" w:hanging="34"/>
        <w:rPr>
          <w:lang w:eastAsia="en-GB"/>
        </w:rPr>
      </w:pPr>
      <w:r w:rsidRPr="003C5180">
        <w:rPr>
          <w:lang w:eastAsia="en-GB"/>
        </w:rPr>
        <w:t>This will be an open label, phase IV study. After appropriate consent, 132 premature infants</w:t>
      </w:r>
      <w:r w:rsidR="00D43E33">
        <w:rPr>
          <w:lang w:eastAsia="en-GB"/>
        </w:rPr>
        <w:t xml:space="preserve"> </w:t>
      </w:r>
      <w:r w:rsidR="00D035BC" w:rsidRPr="003C5180">
        <w:rPr>
          <w:lang w:eastAsia="en-GB"/>
        </w:rPr>
        <w:t>born at &lt;35 weeks gestation</w:t>
      </w:r>
      <w:r w:rsidR="00D035BC">
        <w:rPr>
          <w:lang w:eastAsia="en-GB"/>
        </w:rPr>
        <w:t xml:space="preserve"> (i.e. up to 34 weeks and 6 days)</w:t>
      </w:r>
      <w:r w:rsidR="00D035BC" w:rsidRPr="003C5180">
        <w:rPr>
          <w:lang w:eastAsia="en-GB"/>
        </w:rPr>
        <w:t>, 50% &lt;30 weeks gestation</w:t>
      </w:r>
      <w:r w:rsidR="00D035BC">
        <w:rPr>
          <w:lang w:eastAsia="en-GB"/>
        </w:rPr>
        <w:t xml:space="preserve"> (i.e. up to 29 weeks and 6 days)</w:t>
      </w:r>
      <w:r w:rsidR="00D43E33">
        <w:rPr>
          <w:lang w:eastAsia="en-GB"/>
        </w:rPr>
        <w:t xml:space="preserve"> </w:t>
      </w:r>
      <w:r w:rsidRPr="003C5180">
        <w:rPr>
          <w:lang w:eastAsia="en-GB"/>
        </w:rPr>
        <w:t xml:space="preserve">will be randomised to 1 of 2 4CMen B schedules (Table 1).  </w:t>
      </w:r>
      <w:r w:rsidR="00793CA2" w:rsidRPr="003C5180">
        <w:rPr>
          <w:lang w:eastAsia="en-GB"/>
        </w:rPr>
        <w:t xml:space="preserve">Babies will remain in the study for around 12 months, from recruitment to 13 months of age. </w:t>
      </w:r>
      <w:r w:rsidR="00356399">
        <w:rPr>
          <w:lang w:eastAsia="en-GB"/>
        </w:rPr>
        <w:t>All visits can be performed at the participant’s home or in clinic, depending on the preference of the parents and study team.</w:t>
      </w:r>
    </w:p>
    <w:p w14:paraId="559507B6" w14:textId="78845276" w:rsidR="00467935" w:rsidRDefault="00E472B0">
      <w:pPr>
        <w:widowControl w:val="0"/>
        <w:tabs>
          <w:tab w:val="num" w:pos="426"/>
          <w:tab w:val="num" w:pos="644"/>
        </w:tabs>
        <w:spacing w:after="200"/>
        <w:ind w:left="34" w:hanging="34"/>
        <w:rPr>
          <w:lang w:eastAsia="en-GB"/>
        </w:rPr>
      </w:pPr>
      <w:r w:rsidRPr="003C5180">
        <w:rPr>
          <w:lang w:eastAsia="en-GB"/>
        </w:rPr>
        <w:t>Blood samples will be obtained at 5 months of age (post primary sample), 12 months (persistence sample) and 13 months (post booster sample). Reactogenicity</w:t>
      </w:r>
      <w:r w:rsidR="00821C19">
        <w:rPr>
          <w:lang w:eastAsia="en-GB"/>
        </w:rPr>
        <w:t xml:space="preserve"> and safety</w:t>
      </w:r>
      <w:r w:rsidRPr="003C5180">
        <w:rPr>
          <w:lang w:eastAsia="en-GB"/>
        </w:rPr>
        <w:t xml:space="preserve"> will be assessed by caregiver completion of a 7-day diary after each vaccine dose.  Inpatients will be monitored for cardiorespiratory events for </w:t>
      </w:r>
      <w:r w:rsidR="00DE162A">
        <w:rPr>
          <w:lang w:eastAsia="en-GB"/>
        </w:rPr>
        <w:t>72</w:t>
      </w:r>
      <w:r w:rsidRPr="003C5180">
        <w:rPr>
          <w:lang w:eastAsia="en-GB"/>
        </w:rPr>
        <w:t xml:space="preserve"> hours after vaccination by healthcare staff </w:t>
      </w:r>
      <w:r w:rsidR="00821C19">
        <w:rPr>
          <w:lang w:eastAsia="en-GB"/>
        </w:rPr>
        <w:t>and this information will be collected on the CRF</w:t>
      </w:r>
      <w:r w:rsidR="00AB22EC">
        <w:rPr>
          <w:lang w:eastAsia="en-GB"/>
        </w:rPr>
        <w:t xml:space="preserve">. </w:t>
      </w:r>
      <w:r w:rsidR="00861ADC">
        <w:rPr>
          <w:lang w:eastAsia="en-GB"/>
        </w:rPr>
        <w:t xml:space="preserve">This will include details of oxygen saturations, heart rate, respiratory rate and details of any episodes of desaturation, bradycardia or apnoea. </w:t>
      </w:r>
      <w:r w:rsidR="00DE162A">
        <w:rPr>
          <w:lang w:eastAsia="en-GB"/>
        </w:rPr>
        <w:t>If an infant is medically fit for discharge prior to the end of this 72 hours of observation th</w:t>
      </w:r>
      <w:r w:rsidR="00861ADC">
        <w:rPr>
          <w:lang w:eastAsia="en-GB"/>
        </w:rPr>
        <w:t>e decision to discharge</w:t>
      </w:r>
      <w:r w:rsidR="00DE162A">
        <w:rPr>
          <w:lang w:eastAsia="en-GB"/>
        </w:rPr>
        <w:t xml:space="preserve"> must be discussed with the PI, but will not be considered a protocol deviation. This decision must be documented on the appropriate CRF. </w:t>
      </w:r>
      <w:r w:rsidRPr="003C5180">
        <w:rPr>
          <w:lang w:eastAsia="en-GB"/>
        </w:rPr>
        <w:t>Particular emphasis will be placed on rates, timing and intensity of fever and other adverse reactions in the first 24 hours after vaccination, because this remains a cause of great</w:t>
      </w:r>
      <w:r w:rsidR="000C680B" w:rsidRPr="003C5180">
        <w:rPr>
          <w:lang w:eastAsia="en-GB"/>
        </w:rPr>
        <w:t xml:space="preserve"> concern amongst neonatologists.</w:t>
      </w:r>
      <w:r w:rsidR="00DD27A0">
        <w:rPr>
          <w:lang w:eastAsia="en-GB"/>
        </w:rPr>
        <w:t xml:space="preserve"> Parents will be advised to give thre</w:t>
      </w:r>
      <w:r w:rsidR="00AD4946">
        <w:rPr>
          <w:lang w:eastAsia="en-GB"/>
        </w:rPr>
        <w:t>e doses of paracetamol</w:t>
      </w:r>
      <w:r w:rsidR="00DD27A0">
        <w:rPr>
          <w:lang w:eastAsia="en-GB"/>
        </w:rPr>
        <w:t xml:space="preserve"> after receiving </w:t>
      </w:r>
      <w:r w:rsidR="00B51670">
        <w:rPr>
          <w:lang w:eastAsia="en-GB"/>
        </w:rPr>
        <w:t>Bexsero®</w:t>
      </w:r>
      <w:r w:rsidR="00DD27A0">
        <w:rPr>
          <w:lang w:eastAsia="en-GB"/>
        </w:rPr>
        <w:t>, according to UK guidance</w:t>
      </w:r>
      <w:r w:rsidR="006679C6">
        <w:rPr>
          <w:lang w:eastAsia="en-GB"/>
        </w:rPr>
        <w:t xml:space="preserve"> unless the infant is an in-patient in which case local policy will be followed. </w:t>
      </w:r>
      <w:r w:rsidR="006348D2">
        <w:rPr>
          <w:lang w:eastAsia="en-GB"/>
        </w:rPr>
        <w:t xml:space="preserve">If participants are outpatients at the time of Bexsero administration their parents will be provided with information about paracetamol administration following Men B vaccination and if the infant was born at less than 32 weeks an appropriate dose of paracetamol will be calculated by the study team and communicated to the parents.  </w:t>
      </w:r>
      <w:r w:rsidR="006679C6">
        <w:rPr>
          <w:lang w:eastAsia="en-GB"/>
        </w:rPr>
        <w:t>Administration of paracetamol will be systematically recorded on the diary card including number of doses given and whether given prophylactically or in response to a fever.</w:t>
      </w:r>
    </w:p>
    <w:p w14:paraId="5155BF43" w14:textId="77777777" w:rsidR="009C5FAB" w:rsidRPr="003C5180" w:rsidRDefault="009C5FAB" w:rsidP="000C680B">
      <w:pPr>
        <w:widowControl w:val="0"/>
        <w:tabs>
          <w:tab w:val="num" w:pos="426"/>
          <w:tab w:val="num" w:pos="644"/>
        </w:tabs>
        <w:spacing w:after="200"/>
        <w:ind w:left="34" w:hanging="34"/>
        <w:rPr>
          <w:lang w:eastAsia="en-GB"/>
        </w:rPr>
      </w:pPr>
      <w:r>
        <w:rPr>
          <w:lang w:eastAsia="en-GB"/>
        </w:rPr>
        <w:t>Table 2. Timing of vaccinations and blood sampling</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501"/>
        <w:gridCol w:w="1197"/>
        <w:gridCol w:w="1307"/>
        <w:gridCol w:w="1206"/>
        <w:gridCol w:w="1162"/>
        <w:gridCol w:w="1392"/>
        <w:gridCol w:w="1417"/>
      </w:tblGrid>
      <w:tr w:rsidR="00E472B0" w:rsidRPr="003C5180" w14:paraId="41AE43B8" w14:textId="77777777" w:rsidTr="009C5FAB">
        <w:trPr>
          <w:trHeight w:val="309"/>
        </w:trPr>
        <w:tc>
          <w:tcPr>
            <w:tcW w:w="1501" w:type="dxa"/>
            <w:tcBorders>
              <w:top w:val="single" w:sz="8" w:space="0" w:color="000000"/>
              <w:left w:val="single" w:sz="8" w:space="0" w:color="000000"/>
              <w:bottom w:val="single" w:sz="8" w:space="0" w:color="000000"/>
              <w:right w:val="single" w:sz="8" w:space="0" w:color="000000"/>
            </w:tcBorders>
            <w:shd w:val="clear" w:color="auto" w:fill="F0F0F0"/>
          </w:tcPr>
          <w:p w14:paraId="619747A0" w14:textId="77777777" w:rsidR="00E472B0" w:rsidRPr="003C5180" w:rsidRDefault="00E472B0" w:rsidP="00B348AE">
            <w:pPr>
              <w:widowControl w:val="0"/>
              <w:tabs>
                <w:tab w:val="num" w:pos="426"/>
                <w:tab w:val="num" w:pos="644"/>
              </w:tabs>
              <w:rPr>
                <w:rFonts w:cs="Arial"/>
              </w:rPr>
            </w:pPr>
            <w:r w:rsidRPr="003C5180">
              <w:rPr>
                <w:rFonts w:cs="Arial"/>
                <w:b/>
                <w:bCs/>
              </w:rPr>
              <w:t>Visit Number</w:t>
            </w:r>
            <w:r w:rsidRPr="003C5180">
              <w:rPr>
                <w:rFonts w:cs="Arial"/>
              </w:rPr>
              <w:t> </w:t>
            </w:r>
          </w:p>
        </w:tc>
        <w:tc>
          <w:tcPr>
            <w:tcW w:w="1197" w:type="dxa"/>
            <w:tcBorders>
              <w:top w:val="single" w:sz="8" w:space="0" w:color="000000"/>
              <w:left w:val="single" w:sz="8" w:space="0" w:color="6D6D6D"/>
              <w:bottom w:val="single" w:sz="8" w:space="0" w:color="000000"/>
              <w:right w:val="single" w:sz="8" w:space="0" w:color="000000"/>
            </w:tcBorders>
            <w:shd w:val="clear" w:color="auto" w:fill="F0F0F0"/>
          </w:tcPr>
          <w:p w14:paraId="03A3C09C" w14:textId="77777777" w:rsidR="00E472B0" w:rsidRPr="003C5180" w:rsidRDefault="00E472B0" w:rsidP="00B348AE">
            <w:pPr>
              <w:widowControl w:val="0"/>
              <w:tabs>
                <w:tab w:val="num" w:pos="426"/>
                <w:tab w:val="num" w:pos="644"/>
              </w:tabs>
              <w:rPr>
                <w:rFonts w:cs="Arial"/>
              </w:rPr>
            </w:pPr>
            <w:r w:rsidRPr="003C5180">
              <w:rPr>
                <w:rFonts w:cs="Arial"/>
                <w:b/>
                <w:bCs/>
              </w:rPr>
              <w:t>1</w:t>
            </w:r>
            <w:r w:rsidRPr="003C5180">
              <w:rPr>
                <w:rFonts w:cs="Arial"/>
              </w:rPr>
              <w:t> </w:t>
            </w:r>
          </w:p>
        </w:tc>
        <w:tc>
          <w:tcPr>
            <w:tcW w:w="1307" w:type="dxa"/>
            <w:tcBorders>
              <w:top w:val="single" w:sz="8" w:space="0" w:color="000000"/>
              <w:left w:val="single" w:sz="8" w:space="0" w:color="6D6D6D"/>
              <w:bottom w:val="single" w:sz="8" w:space="0" w:color="000000"/>
              <w:right w:val="single" w:sz="8" w:space="0" w:color="000000"/>
            </w:tcBorders>
            <w:shd w:val="clear" w:color="auto" w:fill="F0F0F0"/>
          </w:tcPr>
          <w:p w14:paraId="3C20E156" w14:textId="77777777" w:rsidR="00E472B0" w:rsidRPr="003C5180" w:rsidRDefault="00E472B0" w:rsidP="00B348AE">
            <w:pPr>
              <w:widowControl w:val="0"/>
              <w:tabs>
                <w:tab w:val="num" w:pos="426"/>
                <w:tab w:val="num" w:pos="644"/>
              </w:tabs>
              <w:rPr>
                <w:rFonts w:cs="Arial"/>
              </w:rPr>
            </w:pPr>
            <w:r w:rsidRPr="003C5180">
              <w:rPr>
                <w:rFonts w:cs="Arial"/>
                <w:b/>
                <w:bCs/>
              </w:rPr>
              <w:t>2</w:t>
            </w:r>
            <w:r w:rsidRPr="003C5180">
              <w:rPr>
                <w:rFonts w:cs="Arial"/>
              </w:rPr>
              <w:t> </w:t>
            </w:r>
          </w:p>
        </w:tc>
        <w:tc>
          <w:tcPr>
            <w:tcW w:w="1206" w:type="dxa"/>
            <w:tcBorders>
              <w:top w:val="single" w:sz="8" w:space="0" w:color="000000"/>
              <w:left w:val="single" w:sz="8" w:space="0" w:color="6D6D6D"/>
              <w:bottom w:val="single" w:sz="8" w:space="0" w:color="000000"/>
              <w:right w:val="single" w:sz="8" w:space="0" w:color="000000"/>
            </w:tcBorders>
            <w:shd w:val="clear" w:color="auto" w:fill="F0F0F0"/>
          </w:tcPr>
          <w:p w14:paraId="547170B7" w14:textId="77777777" w:rsidR="00E472B0" w:rsidRPr="003C5180" w:rsidRDefault="00E472B0" w:rsidP="00B348AE">
            <w:pPr>
              <w:widowControl w:val="0"/>
              <w:tabs>
                <w:tab w:val="num" w:pos="426"/>
                <w:tab w:val="num" w:pos="644"/>
              </w:tabs>
              <w:rPr>
                <w:rFonts w:cs="Arial"/>
              </w:rPr>
            </w:pPr>
            <w:r w:rsidRPr="003C5180">
              <w:rPr>
                <w:rFonts w:cs="Arial"/>
                <w:b/>
                <w:bCs/>
              </w:rPr>
              <w:t>3</w:t>
            </w:r>
            <w:r w:rsidRPr="003C5180">
              <w:rPr>
                <w:rFonts w:cs="Arial"/>
              </w:rPr>
              <w:t> </w:t>
            </w:r>
          </w:p>
        </w:tc>
        <w:tc>
          <w:tcPr>
            <w:tcW w:w="1162" w:type="dxa"/>
            <w:tcBorders>
              <w:top w:val="single" w:sz="8" w:space="0" w:color="000000"/>
              <w:left w:val="single" w:sz="8" w:space="0" w:color="6D6D6D"/>
              <w:bottom w:val="single" w:sz="8" w:space="0" w:color="000000"/>
              <w:right w:val="single" w:sz="8" w:space="0" w:color="000000"/>
            </w:tcBorders>
            <w:shd w:val="clear" w:color="auto" w:fill="F0F0F0"/>
          </w:tcPr>
          <w:p w14:paraId="1EFDF978" w14:textId="77777777" w:rsidR="00E472B0" w:rsidRPr="003C5180" w:rsidRDefault="00E472B0" w:rsidP="00B348AE">
            <w:pPr>
              <w:widowControl w:val="0"/>
              <w:tabs>
                <w:tab w:val="num" w:pos="426"/>
                <w:tab w:val="num" w:pos="644"/>
              </w:tabs>
              <w:rPr>
                <w:rFonts w:cs="Arial"/>
              </w:rPr>
            </w:pPr>
            <w:r w:rsidRPr="003C5180">
              <w:rPr>
                <w:rFonts w:cs="Arial"/>
                <w:b/>
                <w:bCs/>
              </w:rPr>
              <w:t>4</w:t>
            </w:r>
            <w:r w:rsidRPr="003C5180">
              <w:rPr>
                <w:rFonts w:cs="Arial"/>
              </w:rPr>
              <w:t> </w:t>
            </w:r>
          </w:p>
        </w:tc>
        <w:tc>
          <w:tcPr>
            <w:tcW w:w="1392" w:type="dxa"/>
            <w:tcBorders>
              <w:top w:val="single" w:sz="8" w:space="0" w:color="000000"/>
              <w:left w:val="single" w:sz="8" w:space="0" w:color="6D6D6D"/>
              <w:bottom w:val="single" w:sz="8" w:space="0" w:color="000000"/>
              <w:right w:val="single" w:sz="8" w:space="0" w:color="000000"/>
            </w:tcBorders>
            <w:shd w:val="clear" w:color="auto" w:fill="F0F0F0"/>
          </w:tcPr>
          <w:p w14:paraId="10583408" w14:textId="77777777" w:rsidR="00E472B0" w:rsidRPr="003C5180" w:rsidRDefault="00E472B0" w:rsidP="00B348AE">
            <w:pPr>
              <w:widowControl w:val="0"/>
              <w:tabs>
                <w:tab w:val="num" w:pos="426"/>
                <w:tab w:val="num" w:pos="644"/>
              </w:tabs>
              <w:rPr>
                <w:rFonts w:cs="Arial"/>
              </w:rPr>
            </w:pPr>
            <w:r w:rsidRPr="003C5180">
              <w:rPr>
                <w:rFonts w:cs="Arial"/>
                <w:b/>
                <w:bCs/>
              </w:rPr>
              <w:t>5</w:t>
            </w:r>
          </w:p>
        </w:tc>
        <w:tc>
          <w:tcPr>
            <w:tcW w:w="1417" w:type="dxa"/>
            <w:tcBorders>
              <w:top w:val="single" w:sz="8" w:space="0" w:color="000000"/>
              <w:left w:val="single" w:sz="8" w:space="0" w:color="6D6D6D"/>
              <w:bottom w:val="single" w:sz="8" w:space="0" w:color="000000"/>
              <w:right w:val="single" w:sz="8" w:space="0" w:color="000000"/>
            </w:tcBorders>
            <w:shd w:val="clear" w:color="auto" w:fill="F0F0F0"/>
          </w:tcPr>
          <w:p w14:paraId="22D0DCAB" w14:textId="77777777" w:rsidR="00E472B0" w:rsidRPr="003C5180" w:rsidRDefault="00E472B0" w:rsidP="00B348AE">
            <w:pPr>
              <w:widowControl w:val="0"/>
              <w:tabs>
                <w:tab w:val="num" w:pos="426"/>
                <w:tab w:val="num" w:pos="644"/>
              </w:tabs>
              <w:rPr>
                <w:rFonts w:cs="Arial"/>
              </w:rPr>
            </w:pPr>
            <w:r w:rsidRPr="003C5180">
              <w:rPr>
                <w:rFonts w:cs="Arial"/>
                <w:b/>
                <w:bCs/>
              </w:rPr>
              <w:t>6</w:t>
            </w:r>
            <w:r w:rsidRPr="003C5180">
              <w:rPr>
                <w:rFonts w:cs="Arial"/>
              </w:rPr>
              <w:t> </w:t>
            </w:r>
          </w:p>
        </w:tc>
      </w:tr>
      <w:tr w:rsidR="00E472B0" w:rsidRPr="003C5180" w14:paraId="389A31FD" w14:textId="77777777" w:rsidTr="009C5FAB">
        <w:tblPrEx>
          <w:tblBorders>
            <w:top w:val="none" w:sz="0" w:space="0" w:color="auto"/>
          </w:tblBorders>
        </w:tblPrEx>
        <w:trPr>
          <w:trHeight w:val="618"/>
        </w:trPr>
        <w:tc>
          <w:tcPr>
            <w:tcW w:w="1501" w:type="dxa"/>
            <w:tcBorders>
              <w:top w:val="single" w:sz="8" w:space="0" w:color="6D6D6D"/>
              <w:left w:val="single" w:sz="8" w:space="0" w:color="000000"/>
              <w:bottom w:val="single" w:sz="8" w:space="0" w:color="000000"/>
              <w:right w:val="single" w:sz="8" w:space="0" w:color="000000"/>
            </w:tcBorders>
          </w:tcPr>
          <w:p w14:paraId="5568BB24" w14:textId="77777777" w:rsidR="00E472B0" w:rsidRPr="003C5180" w:rsidRDefault="00E472B0" w:rsidP="00B348AE">
            <w:pPr>
              <w:widowControl w:val="0"/>
              <w:tabs>
                <w:tab w:val="num" w:pos="426"/>
                <w:tab w:val="num" w:pos="644"/>
              </w:tabs>
              <w:jc w:val="center"/>
              <w:rPr>
                <w:rFonts w:cs="Arial"/>
              </w:rPr>
            </w:pPr>
            <w:r w:rsidRPr="003C5180">
              <w:rPr>
                <w:rFonts w:cs="Arial"/>
                <w:b/>
                <w:bCs/>
              </w:rPr>
              <w:t>Age</w:t>
            </w:r>
          </w:p>
        </w:tc>
        <w:tc>
          <w:tcPr>
            <w:tcW w:w="1197" w:type="dxa"/>
            <w:tcBorders>
              <w:top w:val="single" w:sz="8" w:space="0" w:color="6D6D6D"/>
              <w:left w:val="single" w:sz="8" w:space="0" w:color="6D6D6D"/>
              <w:bottom w:val="single" w:sz="8" w:space="0" w:color="000000"/>
              <w:right w:val="single" w:sz="8" w:space="0" w:color="000000"/>
            </w:tcBorders>
          </w:tcPr>
          <w:p w14:paraId="2DE030FE" w14:textId="77777777" w:rsidR="00E472B0" w:rsidRDefault="00517C1B" w:rsidP="00B348AE">
            <w:pPr>
              <w:widowControl w:val="0"/>
              <w:tabs>
                <w:tab w:val="num" w:pos="426"/>
                <w:tab w:val="num" w:pos="644"/>
              </w:tabs>
              <w:jc w:val="center"/>
              <w:rPr>
                <w:rFonts w:cs="Arial"/>
              </w:rPr>
            </w:pPr>
            <w:r>
              <w:rPr>
                <w:rFonts w:cs="Arial"/>
              </w:rPr>
              <w:t>2</w:t>
            </w:r>
            <w:r w:rsidR="00E472B0" w:rsidRPr="003C5180">
              <w:rPr>
                <w:rFonts w:cs="Arial"/>
              </w:rPr>
              <w:t xml:space="preserve"> months</w:t>
            </w:r>
          </w:p>
          <w:p w14:paraId="0CC43CBE" w14:textId="77777777" w:rsidR="00A75A6F" w:rsidRPr="003C5180" w:rsidRDefault="00A75A6F" w:rsidP="00B348AE">
            <w:pPr>
              <w:widowControl w:val="0"/>
              <w:tabs>
                <w:tab w:val="num" w:pos="426"/>
                <w:tab w:val="num" w:pos="644"/>
              </w:tabs>
              <w:jc w:val="center"/>
              <w:rPr>
                <w:rFonts w:cs="Arial"/>
              </w:rPr>
            </w:pPr>
            <w:r>
              <w:rPr>
                <w:rFonts w:cs="Arial"/>
              </w:rPr>
              <w:t>49-84 days</w:t>
            </w:r>
          </w:p>
        </w:tc>
        <w:tc>
          <w:tcPr>
            <w:tcW w:w="1307" w:type="dxa"/>
            <w:tcBorders>
              <w:top w:val="single" w:sz="8" w:space="0" w:color="6D6D6D"/>
              <w:left w:val="single" w:sz="8" w:space="0" w:color="6D6D6D"/>
              <w:bottom w:val="single" w:sz="8" w:space="0" w:color="000000"/>
              <w:right w:val="single" w:sz="8" w:space="0" w:color="000000"/>
            </w:tcBorders>
          </w:tcPr>
          <w:p w14:paraId="5F5B0EE7" w14:textId="77777777" w:rsidR="00E472B0" w:rsidRDefault="00517C1B" w:rsidP="00B348AE">
            <w:pPr>
              <w:widowControl w:val="0"/>
              <w:tabs>
                <w:tab w:val="num" w:pos="426"/>
                <w:tab w:val="num" w:pos="644"/>
              </w:tabs>
              <w:jc w:val="center"/>
              <w:rPr>
                <w:rFonts w:cs="Arial"/>
              </w:rPr>
            </w:pPr>
            <w:r>
              <w:rPr>
                <w:rFonts w:cs="Arial"/>
              </w:rPr>
              <w:t xml:space="preserve">3 </w:t>
            </w:r>
            <w:r w:rsidR="00E472B0" w:rsidRPr="003C5180">
              <w:rPr>
                <w:rFonts w:cs="Arial"/>
              </w:rPr>
              <w:t>months</w:t>
            </w:r>
          </w:p>
          <w:p w14:paraId="43579181" w14:textId="77777777" w:rsidR="00A75A6F" w:rsidRPr="003C5180" w:rsidRDefault="00861ADC" w:rsidP="00B348AE">
            <w:pPr>
              <w:widowControl w:val="0"/>
              <w:tabs>
                <w:tab w:val="num" w:pos="426"/>
                <w:tab w:val="num" w:pos="644"/>
              </w:tabs>
              <w:jc w:val="center"/>
              <w:rPr>
                <w:rFonts w:cs="Arial"/>
              </w:rPr>
            </w:pPr>
            <w:r>
              <w:rPr>
                <w:rFonts w:cs="Arial"/>
              </w:rPr>
              <w:t>28</w:t>
            </w:r>
            <w:r w:rsidR="00A75A6F">
              <w:rPr>
                <w:rFonts w:cs="Arial"/>
              </w:rPr>
              <w:t>-42 days after V1</w:t>
            </w:r>
          </w:p>
        </w:tc>
        <w:tc>
          <w:tcPr>
            <w:tcW w:w="1206" w:type="dxa"/>
            <w:tcBorders>
              <w:top w:val="single" w:sz="8" w:space="0" w:color="6D6D6D"/>
              <w:left w:val="single" w:sz="8" w:space="0" w:color="6D6D6D"/>
              <w:bottom w:val="single" w:sz="8" w:space="0" w:color="000000"/>
              <w:right w:val="single" w:sz="8" w:space="0" w:color="000000"/>
            </w:tcBorders>
          </w:tcPr>
          <w:p w14:paraId="1175D6AF" w14:textId="77777777" w:rsidR="00E472B0" w:rsidRDefault="00517C1B" w:rsidP="00B348AE">
            <w:pPr>
              <w:widowControl w:val="0"/>
              <w:tabs>
                <w:tab w:val="num" w:pos="426"/>
                <w:tab w:val="num" w:pos="644"/>
              </w:tabs>
              <w:jc w:val="center"/>
              <w:rPr>
                <w:rFonts w:cs="Arial"/>
              </w:rPr>
            </w:pPr>
            <w:r>
              <w:rPr>
                <w:rFonts w:cs="Arial"/>
              </w:rPr>
              <w:t xml:space="preserve">4 </w:t>
            </w:r>
            <w:r w:rsidR="00E472B0" w:rsidRPr="003C5180">
              <w:rPr>
                <w:rFonts w:cs="Arial"/>
              </w:rPr>
              <w:t>months</w:t>
            </w:r>
          </w:p>
          <w:p w14:paraId="70B9C2BA" w14:textId="77777777" w:rsidR="00A75A6F" w:rsidRPr="003C5180" w:rsidRDefault="00861ADC" w:rsidP="00B348AE">
            <w:pPr>
              <w:widowControl w:val="0"/>
              <w:tabs>
                <w:tab w:val="num" w:pos="426"/>
                <w:tab w:val="num" w:pos="644"/>
              </w:tabs>
              <w:jc w:val="center"/>
              <w:rPr>
                <w:rFonts w:cs="Arial"/>
              </w:rPr>
            </w:pPr>
            <w:r>
              <w:rPr>
                <w:rFonts w:cs="Arial"/>
              </w:rPr>
              <w:t>28</w:t>
            </w:r>
            <w:r w:rsidR="00A75A6F">
              <w:rPr>
                <w:rFonts w:cs="Arial"/>
              </w:rPr>
              <w:t>-42 days after V2</w:t>
            </w:r>
          </w:p>
        </w:tc>
        <w:tc>
          <w:tcPr>
            <w:tcW w:w="1162" w:type="dxa"/>
            <w:tcBorders>
              <w:top w:val="single" w:sz="8" w:space="0" w:color="6D6D6D"/>
              <w:left w:val="single" w:sz="8" w:space="0" w:color="6D6D6D"/>
              <w:bottom w:val="single" w:sz="8" w:space="0" w:color="000000"/>
              <w:right w:val="single" w:sz="8" w:space="0" w:color="000000"/>
            </w:tcBorders>
          </w:tcPr>
          <w:p w14:paraId="21703A88" w14:textId="77777777" w:rsidR="00E472B0" w:rsidRDefault="00517C1B" w:rsidP="00B348AE">
            <w:pPr>
              <w:widowControl w:val="0"/>
              <w:tabs>
                <w:tab w:val="num" w:pos="426"/>
                <w:tab w:val="num" w:pos="644"/>
              </w:tabs>
              <w:jc w:val="center"/>
              <w:rPr>
                <w:rFonts w:cs="Arial"/>
              </w:rPr>
            </w:pPr>
            <w:r>
              <w:rPr>
                <w:rFonts w:cs="Arial"/>
              </w:rPr>
              <w:t>5</w:t>
            </w:r>
            <w:r w:rsidR="00E472B0" w:rsidRPr="003C5180">
              <w:rPr>
                <w:rFonts w:cs="Arial"/>
              </w:rPr>
              <w:t xml:space="preserve"> months</w:t>
            </w:r>
          </w:p>
          <w:p w14:paraId="698228AE" w14:textId="77777777" w:rsidR="00A75A6F" w:rsidRPr="003C5180" w:rsidRDefault="00A75A6F" w:rsidP="00B348AE">
            <w:pPr>
              <w:widowControl w:val="0"/>
              <w:tabs>
                <w:tab w:val="num" w:pos="426"/>
                <w:tab w:val="num" w:pos="644"/>
              </w:tabs>
              <w:jc w:val="center"/>
              <w:rPr>
                <w:rFonts w:cs="Arial"/>
              </w:rPr>
            </w:pPr>
            <w:r>
              <w:rPr>
                <w:rFonts w:cs="Arial"/>
              </w:rPr>
              <w:t>2</w:t>
            </w:r>
            <w:r w:rsidR="00861ADC">
              <w:rPr>
                <w:rFonts w:cs="Arial"/>
              </w:rPr>
              <w:t>8</w:t>
            </w:r>
            <w:r>
              <w:rPr>
                <w:rFonts w:cs="Arial"/>
              </w:rPr>
              <w:t>-42 days after V3</w:t>
            </w:r>
          </w:p>
        </w:tc>
        <w:tc>
          <w:tcPr>
            <w:tcW w:w="1392" w:type="dxa"/>
            <w:tcBorders>
              <w:top w:val="single" w:sz="8" w:space="0" w:color="6D6D6D"/>
              <w:left w:val="single" w:sz="8" w:space="0" w:color="6D6D6D"/>
              <w:bottom w:val="single" w:sz="8" w:space="0" w:color="000000"/>
              <w:right w:val="single" w:sz="8" w:space="0" w:color="000000"/>
            </w:tcBorders>
          </w:tcPr>
          <w:p w14:paraId="415F7AAB" w14:textId="77777777" w:rsidR="00E472B0" w:rsidRDefault="00517C1B" w:rsidP="00B348AE">
            <w:pPr>
              <w:widowControl w:val="0"/>
              <w:tabs>
                <w:tab w:val="num" w:pos="426"/>
                <w:tab w:val="num" w:pos="644"/>
              </w:tabs>
              <w:jc w:val="center"/>
              <w:rPr>
                <w:rFonts w:cs="Arial"/>
              </w:rPr>
            </w:pPr>
            <w:r>
              <w:rPr>
                <w:rFonts w:cs="Arial"/>
              </w:rPr>
              <w:t xml:space="preserve">12 </w:t>
            </w:r>
            <w:r w:rsidR="00E472B0" w:rsidRPr="003C5180">
              <w:rPr>
                <w:rFonts w:cs="Arial"/>
              </w:rPr>
              <w:t>months</w:t>
            </w:r>
          </w:p>
          <w:p w14:paraId="06F1DBB3" w14:textId="77777777" w:rsidR="00A75A6F" w:rsidRPr="003C5180" w:rsidRDefault="00861ADC" w:rsidP="00B348AE">
            <w:pPr>
              <w:widowControl w:val="0"/>
              <w:tabs>
                <w:tab w:val="num" w:pos="426"/>
                <w:tab w:val="num" w:pos="644"/>
              </w:tabs>
              <w:jc w:val="center"/>
              <w:rPr>
                <w:rFonts w:cs="Arial"/>
              </w:rPr>
            </w:pPr>
            <w:r>
              <w:rPr>
                <w:rFonts w:cs="Arial"/>
              </w:rPr>
              <w:t>364</w:t>
            </w:r>
            <w:r w:rsidR="00A75A6F">
              <w:rPr>
                <w:rFonts w:cs="Arial"/>
              </w:rPr>
              <w:t xml:space="preserve">- 393 days </w:t>
            </w:r>
          </w:p>
        </w:tc>
        <w:tc>
          <w:tcPr>
            <w:tcW w:w="1417" w:type="dxa"/>
            <w:tcBorders>
              <w:top w:val="single" w:sz="8" w:space="0" w:color="6D6D6D"/>
              <w:left w:val="single" w:sz="8" w:space="0" w:color="6D6D6D"/>
              <w:bottom w:val="single" w:sz="8" w:space="0" w:color="000000"/>
              <w:right w:val="single" w:sz="8" w:space="0" w:color="000000"/>
            </w:tcBorders>
          </w:tcPr>
          <w:p w14:paraId="078612E2" w14:textId="77777777" w:rsidR="00E472B0" w:rsidRDefault="00517C1B" w:rsidP="00B348AE">
            <w:pPr>
              <w:widowControl w:val="0"/>
              <w:tabs>
                <w:tab w:val="num" w:pos="426"/>
                <w:tab w:val="num" w:pos="644"/>
              </w:tabs>
              <w:jc w:val="center"/>
              <w:rPr>
                <w:rFonts w:cs="Arial"/>
              </w:rPr>
            </w:pPr>
            <w:r>
              <w:rPr>
                <w:rFonts w:cs="Arial"/>
              </w:rPr>
              <w:t>13</w:t>
            </w:r>
            <w:r w:rsidR="00E472B0" w:rsidRPr="003C5180">
              <w:rPr>
                <w:rFonts w:cs="Arial"/>
              </w:rPr>
              <w:t xml:space="preserve"> months</w:t>
            </w:r>
          </w:p>
          <w:p w14:paraId="3D8F2C10" w14:textId="77777777" w:rsidR="00A75A6F" w:rsidRPr="003C5180" w:rsidRDefault="00861ADC" w:rsidP="00B348AE">
            <w:pPr>
              <w:widowControl w:val="0"/>
              <w:tabs>
                <w:tab w:val="num" w:pos="426"/>
                <w:tab w:val="num" w:pos="644"/>
              </w:tabs>
              <w:jc w:val="center"/>
              <w:rPr>
                <w:rFonts w:cs="Arial"/>
              </w:rPr>
            </w:pPr>
            <w:r>
              <w:rPr>
                <w:rFonts w:cs="Arial"/>
              </w:rPr>
              <w:t>28</w:t>
            </w:r>
            <w:r w:rsidR="00A75A6F">
              <w:rPr>
                <w:rFonts w:cs="Arial"/>
              </w:rPr>
              <w:t>-42 days after V5</w:t>
            </w:r>
          </w:p>
        </w:tc>
      </w:tr>
      <w:tr w:rsidR="00E472B0" w:rsidRPr="003C5180" w14:paraId="624A0956" w14:textId="77777777" w:rsidTr="009C5FAB">
        <w:tblPrEx>
          <w:tblBorders>
            <w:top w:val="none" w:sz="0" w:space="0" w:color="auto"/>
          </w:tblBorders>
        </w:tblPrEx>
        <w:trPr>
          <w:trHeight w:val="941"/>
        </w:trPr>
        <w:tc>
          <w:tcPr>
            <w:tcW w:w="1501" w:type="dxa"/>
            <w:tcBorders>
              <w:top w:val="single" w:sz="8" w:space="0" w:color="6D6D6D"/>
              <w:left w:val="single" w:sz="8" w:space="0" w:color="000000"/>
              <w:bottom w:val="single" w:sz="8" w:space="0" w:color="000000"/>
              <w:right w:val="single" w:sz="8" w:space="0" w:color="000000"/>
            </w:tcBorders>
          </w:tcPr>
          <w:p w14:paraId="0E7C7807" w14:textId="77777777" w:rsidR="00E472B0" w:rsidRPr="003C5180" w:rsidRDefault="00E472B0" w:rsidP="00B348AE">
            <w:pPr>
              <w:widowControl w:val="0"/>
              <w:tabs>
                <w:tab w:val="num" w:pos="426"/>
                <w:tab w:val="num" w:pos="644"/>
              </w:tabs>
              <w:jc w:val="center"/>
              <w:rPr>
                <w:rFonts w:cs="Arial"/>
              </w:rPr>
            </w:pPr>
            <w:r w:rsidRPr="003C5180">
              <w:rPr>
                <w:rFonts w:cs="Arial"/>
                <w:b/>
                <w:bCs/>
              </w:rPr>
              <w:t>Group 1</w:t>
            </w:r>
          </w:p>
        </w:tc>
        <w:tc>
          <w:tcPr>
            <w:tcW w:w="1197" w:type="dxa"/>
            <w:tcBorders>
              <w:top w:val="single" w:sz="8" w:space="0" w:color="6D6D6D"/>
              <w:left w:val="single" w:sz="8" w:space="0" w:color="6D6D6D"/>
              <w:bottom w:val="single" w:sz="8" w:space="0" w:color="000000"/>
              <w:right w:val="single" w:sz="8" w:space="0" w:color="000000"/>
            </w:tcBorders>
          </w:tcPr>
          <w:p w14:paraId="58155219"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44FB73B4" w14:textId="77777777" w:rsidR="00E472B0" w:rsidRPr="003C5180" w:rsidRDefault="00E472B0" w:rsidP="00B348AE">
            <w:pPr>
              <w:widowControl w:val="0"/>
              <w:tabs>
                <w:tab w:val="num" w:pos="426"/>
                <w:tab w:val="num" w:pos="644"/>
              </w:tabs>
              <w:jc w:val="center"/>
              <w:rPr>
                <w:rFonts w:cs="Arial"/>
              </w:rPr>
            </w:pPr>
            <w:r w:rsidRPr="003C5180">
              <w:rPr>
                <w:rFonts w:cs="Arial"/>
              </w:rPr>
              <w:t>RV</w:t>
            </w:r>
          </w:p>
          <w:p w14:paraId="7D92AC6F" w14:textId="77777777" w:rsidR="00E472B0" w:rsidRPr="003C5180" w:rsidRDefault="00E472B0" w:rsidP="00B348AE">
            <w:pPr>
              <w:widowControl w:val="0"/>
              <w:tabs>
                <w:tab w:val="num" w:pos="426"/>
                <w:tab w:val="num" w:pos="644"/>
              </w:tabs>
              <w:jc w:val="center"/>
              <w:rPr>
                <w:rFonts w:cs="Arial"/>
              </w:rPr>
            </w:pPr>
          </w:p>
        </w:tc>
        <w:tc>
          <w:tcPr>
            <w:tcW w:w="1307" w:type="dxa"/>
            <w:tcBorders>
              <w:top w:val="single" w:sz="8" w:space="0" w:color="6D6D6D"/>
              <w:left w:val="single" w:sz="8" w:space="0" w:color="6D6D6D"/>
              <w:bottom w:val="single" w:sz="8" w:space="0" w:color="000000"/>
              <w:right w:val="single" w:sz="8" w:space="0" w:color="000000"/>
            </w:tcBorders>
          </w:tcPr>
          <w:p w14:paraId="7EEE1BAD" w14:textId="77777777" w:rsidR="00E472B0" w:rsidRPr="003C5180" w:rsidRDefault="00E472B0" w:rsidP="00B348AE">
            <w:pPr>
              <w:widowControl w:val="0"/>
              <w:tabs>
                <w:tab w:val="num" w:pos="426"/>
                <w:tab w:val="num" w:pos="644"/>
              </w:tabs>
              <w:jc w:val="center"/>
              <w:rPr>
                <w:rFonts w:cs="Arial"/>
              </w:rPr>
            </w:pPr>
          </w:p>
          <w:p w14:paraId="0FA8B7B5" w14:textId="77777777" w:rsidR="00E472B0" w:rsidRPr="003C5180" w:rsidRDefault="00E472B0" w:rsidP="00B348AE">
            <w:pPr>
              <w:widowControl w:val="0"/>
              <w:tabs>
                <w:tab w:val="num" w:pos="426"/>
                <w:tab w:val="num" w:pos="644"/>
              </w:tabs>
              <w:jc w:val="center"/>
              <w:rPr>
                <w:rFonts w:cs="Arial"/>
              </w:rPr>
            </w:pPr>
            <w:r w:rsidRPr="003C5180">
              <w:rPr>
                <w:rFonts w:cs="Arial"/>
              </w:rPr>
              <w:t>RV</w:t>
            </w:r>
          </w:p>
          <w:p w14:paraId="569C57F8" w14:textId="77777777" w:rsidR="00E472B0" w:rsidRPr="003C5180" w:rsidRDefault="00E472B0" w:rsidP="00B348AE">
            <w:pPr>
              <w:widowControl w:val="0"/>
              <w:tabs>
                <w:tab w:val="num" w:pos="426"/>
                <w:tab w:val="num" w:pos="644"/>
              </w:tabs>
              <w:jc w:val="center"/>
              <w:rPr>
                <w:rFonts w:cs="Arial"/>
              </w:rPr>
            </w:pPr>
          </w:p>
        </w:tc>
        <w:tc>
          <w:tcPr>
            <w:tcW w:w="1206" w:type="dxa"/>
            <w:tcBorders>
              <w:top w:val="single" w:sz="8" w:space="0" w:color="6D6D6D"/>
              <w:left w:val="single" w:sz="8" w:space="0" w:color="6D6D6D"/>
              <w:bottom w:val="single" w:sz="8" w:space="0" w:color="000000"/>
              <w:right w:val="single" w:sz="8" w:space="0" w:color="000000"/>
            </w:tcBorders>
          </w:tcPr>
          <w:p w14:paraId="46E7AE4B"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41164DFC" w14:textId="77777777" w:rsidR="00E472B0" w:rsidRPr="003C5180" w:rsidRDefault="00E472B0" w:rsidP="00B348AE">
            <w:pPr>
              <w:widowControl w:val="0"/>
              <w:tabs>
                <w:tab w:val="num" w:pos="426"/>
                <w:tab w:val="num" w:pos="644"/>
              </w:tabs>
              <w:jc w:val="center"/>
              <w:rPr>
                <w:rFonts w:cs="Arial"/>
                <w:b/>
                <w:bCs/>
              </w:rPr>
            </w:pPr>
            <w:r w:rsidRPr="003C5180">
              <w:rPr>
                <w:rFonts w:cs="Arial"/>
              </w:rPr>
              <w:t>RV</w:t>
            </w:r>
          </w:p>
          <w:p w14:paraId="0FBA951E" w14:textId="77777777" w:rsidR="00E472B0" w:rsidRPr="003C5180" w:rsidRDefault="00E472B0" w:rsidP="00B348AE">
            <w:pPr>
              <w:widowControl w:val="0"/>
              <w:tabs>
                <w:tab w:val="num" w:pos="426"/>
                <w:tab w:val="num" w:pos="644"/>
              </w:tabs>
              <w:jc w:val="center"/>
              <w:rPr>
                <w:rFonts w:cs="Arial"/>
                <w:b/>
                <w:bCs/>
              </w:rPr>
            </w:pPr>
          </w:p>
        </w:tc>
        <w:tc>
          <w:tcPr>
            <w:tcW w:w="1162" w:type="dxa"/>
            <w:tcBorders>
              <w:top w:val="single" w:sz="8" w:space="0" w:color="6D6D6D"/>
              <w:left w:val="single" w:sz="8" w:space="0" w:color="6D6D6D"/>
              <w:bottom w:val="single" w:sz="8" w:space="0" w:color="000000"/>
              <w:right w:val="single" w:sz="8" w:space="0" w:color="000000"/>
            </w:tcBorders>
          </w:tcPr>
          <w:p w14:paraId="03F747D7" w14:textId="77777777" w:rsidR="00E472B0" w:rsidRPr="003C5180" w:rsidRDefault="00E472B0" w:rsidP="00B348AE">
            <w:pPr>
              <w:widowControl w:val="0"/>
              <w:tabs>
                <w:tab w:val="num" w:pos="426"/>
                <w:tab w:val="num" w:pos="644"/>
              </w:tabs>
              <w:jc w:val="center"/>
              <w:rPr>
                <w:rFonts w:cs="Arial"/>
              </w:rPr>
            </w:pPr>
          </w:p>
          <w:p w14:paraId="408BAF77" w14:textId="77777777" w:rsidR="00E472B0" w:rsidRPr="003C5180" w:rsidRDefault="00E472B0" w:rsidP="00B348AE">
            <w:pPr>
              <w:widowControl w:val="0"/>
              <w:tabs>
                <w:tab w:val="num" w:pos="426"/>
                <w:tab w:val="num" w:pos="644"/>
              </w:tabs>
              <w:jc w:val="center"/>
              <w:rPr>
                <w:rFonts w:cs="Arial"/>
              </w:rPr>
            </w:pPr>
          </w:p>
          <w:p w14:paraId="49D73016" w14:textId="77777777" w:rsidR="00E472B0" w:rsidRPr="003C5180" w:rsidRDefault="00E472B0" w:rsidP="00B348AE">
            <w:pPr>
              <w:widowControl w:val="0"/>
              <w:tabs>
                <w:tab w:val="num" w:pos="426"/>
                <w:tab w:val="num" w:pos="644"/>
              </w:tabs>
              <w:jc w:val="center"/>
              <w:rPr>
                <w:rFonts w:cs="Arial"/>
              </w:rPr>
            </w:pPr>
            <w:r w:rsidRPr="003C5180">
              <w:rPr>
                <w:rFonts w:cs="Arial"/>
              </w:rPr>
              <w:t>*</w:t>
            </w:r>
          </w:p>
        </w:tc>
        <w:tc>
          <w:tcPr>
            <w:tcW w:w="1392" w:type="dxa"/>
            <w:tcBorders>
              <w:top w:val="single" w:sz="8" w:space="0" w:color="6D6D6D"/>
              <w:left w:val="single" w:sz="8" w:space="0" w:color="6D6D6D"/>
              <w:bottom w:val="single" w:sz="8" w:space="0" w:color="000000"/>
              <w:right w:val="single" w:sz="8" w:space="0" w:color="000000"/>
            </w:tcBorders>
          </w:tcPr>
          <w:p w14:paraId="5F5C9D3F"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7F09713E" w14:textId="77777777" w:rsidR="00E472B0" w:rsidRPr="003C5180" w:rsidRDefault="00E472B0" w:rsidP="00B348AE">
            <w:pPr>
              <w:widowControl w:val="0"/>
              <w:tabs>
                <w:tab w:val="num" w:pos="426"/>
                <w:tab w:val="num" w:pos="644"/>
              </w:tabs>
              <w:jc w:val="center"/>
              <w:rPr>
                <w:rFonts w:cs="Arial"/>
              </w:rPr>
            </w:pPr>
            <w:r w:rsidRPr="003C5180">
              <w:rPr>
                <w:rFonts w:cs="Arial"/>
              </w:rPr>
              <w:t>RV</w:t>
            </w:r>
          </w:p>
          <w:p w14:paraId="284A654A" w14:textId="77777777" w:rsidR="00E472B0" w:rsidRPr="003C5180" w:rsidRDefault="00E472B0" w:rsidP="00B348AE">
            <w:pPr>
              <w:widowControl w:val="0"/>
              <w:tabs>
                <w:tab w:val="num" w:pos="426"/>
                <w:tab w:val="num" w:pos="644"/>
              </w:tabs>
              <w:jc w:val="center"/>
              <w:rPr>
                <w:rFonts w:cs="Arial"/>
              </w:rPr>
            </w:pPr>
            <w:r w:rsidRPr="003C5180">
              <w:rPr>
                <w:rFonts w:cs="Arial"/>
              </w:rPr>
              <w:t>*</w:t>
            </w:r>
          </w:p>
        </w:tc>
        <w:tc>
          <w:tcPr>
            <w:tcW w:w="1417" w:type="dxa"/>
            <w:tcBorders>
              <w:top w:val="single" w:sz="8" w:space="0" w:color="6D6D6D"/>
              <w:left w:val="single" w:sz="8" w:space="0" w:color="6D6D6D"/>
              <w:bottom w:val="single" w:sz="8" w:space="0" w:color="000000"/>
              <w:right w:val="single" w:sz="8" w:space="0" w:color="000000"/>
            </w:tcBorders>
          </w:tcPr>
          <w:p w14:paraId="491C94D5" w14:textId="77777777" w:rsidR="00E472B0" w:rsidRPr="003C5180" w:rsidRDefault="00E472B0" w:rsidP="00B348AE">
            <w:pPr>
              <w:widowControl w:val="0"/>
              <w:tabs>
                <w:tab w:val="num" w:pos="426"/>
                <w:tab w:val="num" w:pos="644"/>
              </w:tabs>
              <w:jc w:val="center"/>
              <w:rPr>
                <w:rFonts w:cs="Arial"/>
              </w:rPr>
            </w:pPr>
          </w:p>
          <w:p w14:paraId="68869E1F" w14:textId="77777777" w:rsidR="00E472B0" w:rsidRPr="003C5180" w:rsidRDefault="00E472B0" w:rsidP="00B348AE">
            <w:pPr>
              <w:widowControl w:val="0"/>
              <w:tabs>
                <w:tab w:val="num" w:pos="426"/>
                <w:tab w:val="num" w:pos="644"/>
              </w:tabs>
              <w:jc w:val="center"/>
              <w:rPr>
                <w:rFonts w:cs="Arial"/>
              </w:rPr>
            </w:pPr>
          </w:p>
          <w:p w14:paraId="0F6CF6F0" w14:textId="77777777" w:rsidR="00E472B0" w:rsidRPr="003C5180" w:rsidRDefault="00E472B0" w:rsidP="00B348AE">
            <w:pPr>
              <w:widowControl w:val="0"/>
              <w:tabs>
                <w:tab w:val="num" w:pos="426"/>
                <w:tab w:val="num" w:pos="644"/>
              </w:tabs>
              <w:jc w:val="center"/>
              <w:rPr>
                <w:rFonts w:cs="Arial"/>
              </w:rPr>
            </w:pPr>
            <w:r w:rsidRPr="003C5180">
              <w:rPr>
                <w:rFonts w:cs="Arial"/>
              </w:rPr>
              <w:t>*</w:t>
            </w:r>
          </w:p>
        </w:tc>
      </w:tr>
      <w:tr w:rsidR="00E472B0" w:rsidRPr="003C5180" w14:paraId="12A62B7A" w14:textId="77777777" w:rsidTr="009C5FAB">
        <w:tblPrEx>
          <w:tblBorders>
            <w:top w:val="none" w:sz="0" w:space="0" w:color="auto"/>
            <w:bottom w:val="single" w:sz="8" w:space="0" w:color="6D6D6D"/>
          </w:tblBorders>
        </w:tblPrEx>
        <w:trPr>
          <w:trHeight w:val="928"/>
        </w:trPr>
        <w:tc>
          <w:tcPr>
            <w:tcW w:w="1501" w:type="dxa"/>
            <w:tcBorders>
              <w:top w:val="single" w:sz="8" w:space="0" w:color="6D6D6D"/>
              <w:left w:val="single" w:sz="8" w:space="0" w:color="000000"/>
              <w:bottom w:val="single" w:sz="8" w:space="0" w:color="000000"/>
              <w:right w:val="single" w:sz="8" w:space="0" w:color="000000"/>
            </w:tcBorders>
          </w:tcPr>
          <w:p w14:paraId="4D551244" w14:textId="77777777" w:rsidR="00E472B0" w:rsidRPr="003C5180" w:rsidRDefault="00E472B0" w:rsidP="00B348AE">
            <w:pPr>
              <w:widowControl w:val="0"/>
              <w:tabs>
                <w:tab w:val="num" w:pos="426"/>
                <w:tab w:val="num" w:pos="644"/>
              </w:tabs>
              <w:jc w:val="center"/>
              <w:rPr>
                <w:rFonts w:cs="Arial"/>
              </w:rPr>
            </w:pPr>
            <w:r w:rsidRPr="003C5180">
              <w:rPr>
                <w:rFonts w:cs="Arial"/>
                <w:b/>
                <w:bCs/>
              </w:rPr>
              <w:t>Group 2</w:t>
            </w:r>
          </w:p>
        </w:tc>
        <w:tc>
          <w:tcPr>
            <w:tcW w:w="1197" w:type="dxa"/>
            <w:tcBorders>
              <w:top w:val="single" w:sz="8" w:space="0" w:color="6D6D6D"/>
              <w:left w:val="single" w:sz="8" w:space="0" w:color="6D6D6D"/>
              <w:bottom w:val="single" w:sz="8" w:space="0" w:color="000000"/>
              <w:right w:val="single" w:sz="8" w:space="0" w:color="000000"/>
            </w:tcBorders>
          </w:tcPr>
          <w:p w14:paraId="53AA955E"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523108BF" w14:textId="77777777" w:rsidR="00E472B0" w:rsidRPr="003C5180" w:rsidRDefault="00E472B0" w:rsidP="00B348AE">
            <w:pPr>
              <w:widowControl w:val="0"/>
              <w:tabs>
                <w:tab w:val="num" w:pos="426"/>
                <w:tab w:val="num" w:pos="644"/>
              </w:tabs>
              <w:jc w:val="center"/>
              <w:rPr>
                <w:rFonts w:cs="Arial"/>
              </w:rPr>
            </w:pPr>
            <w:r w:rsidRPr="003C5180">
              <w:rPr>
                <w:rFonts w:cs="Arial"/>
              </w:rPr>
              <w:t>RV</w:t>
            </w:r>
          </w:p>
          <w:p w14:paraId="3E2959CF" w14:textId="77777777" w:rsidR="00E472B0" w:rsidRPr="003C5180" w:rsidRDefault="00E472B0" w:rsidP="00B348AE">
            <w:pPr>
              <w:widowControl w:val="0"/>
              <w:tabs>
                <w:tab w:val="num" w:pos="426"/>
                <w:tab w:val="num" w:pos="644"/>
              </w:tabs>
              <w:jc w:val="center"/>
              <w:rPr>
                <w:rFonts w:cs="Arial"/>
              </w:rPr>
            </w:pPr>
          </w:p>
        </w:tc>
        <w:tc>
          <w:tcPr>
            <w:tcW w:w="1307" w:type="dxa"/>
            <w:tcBorders>
              <w:top w:val="single" w:sz="8" w:space="0" w:color="6D6D6D"/>
              <w:left w:val="single" w:sz="8" w:space="0" w:color="6D6D6D"/>
              <w:bottom w:val="single" w:sz="8" w:space="0" w:color="000000"/>
              <w:right w:val="single" w:sz="8" w:space="0" w:color="000000"/>
            </w:tcBorders>
          </w:tcPr>
          <w:p w14:paraId="53672C8B"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3824C23D" w14:textId="77777777" w:rsidR="00E472B0" w:rsidRPr="003C5180" w:rsidRDefault="00E472B0" w:rsidP="00B348AE">
            <w:pPr>
              <w:widowControl w:val="0"/>
              <w:tabs>
                <w:tab w:val="num" w:pos="426"/>
                <w:tab w:val="num" w:pos="644"/>
              </w:tabs>
              <w:jc w:val="center"/>
              <w:rPr>
                <w:rFonts w:cs="Arial"/>
              </w:rPr>
            </w:pPr>
            <w:r w:rsidRPr="003C5180">
              <w:rPr>
                <w:rFonts w:cs="Arial"/>
              </w:rPr>
              <w:t>RV</w:t>
            </w:r>
          </w:p>
          <w:p w14:paraId="753C6DA8" w14:textId="77777777" w:rsidR="00E472B0" w:rsidRPr="003C5180" w:rsidRDefault="00E472B0" w:rsidP="00B348AE">
            <w:pPr>
              <w:widowControl w:val="0"/>
              <w:tabs>
                <w:tab w:val="num" w:pos="426"/>
                <w:tab w:val="num" w:pos="644"/>
              </w:tabs>
              <w:jc w:val="center"/>
              <w:rPr>
                <w:rFonts w:cs="Arial"/>
              </w:rPr>
            </w:pPr>
          </w:p>
        </w:tc>
        <w:tc>
          <w:tcPr>
            <w:tcW w:w="1206" w:type="dxa"/>
            <w:tcBorders>
              <w:top w:val="single" w:sz="8" w:space="0" w:color="6D6D6D"/>
              <w:left w:val="single" w:sz="8" w:space="0" w:color="6D6D6D"/>
              <w:bottom w:val="single" w:sz="8" w:space="0" w:color="000000"/>
              <w:right w:val="single" w:sz="8" w:space="0" w:color="000000"/>
            </w:tcBorders>
          </w:tcPr>
          <w:p w14:paraId="2A47BB85"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1CF1AFF7" w14:textId="77777777" w:rsidR="00E472B0" w:rsidRPr="003C5180" w:rsidRDefault="00E472B0" w:rsidP="00B348AE">
            <w:pPr>
              <w:widowControl w:val="0"/>
              <w:tabs>
                <w:tab w:val="num" w:pos="426"/>
                <w:tab w:val="num" w:pos="644"/>
              </w:tabs>
              <w:jc w:val="center"/>
              <w:rPr>
                <w:rFonts w:cs="Arial"/>
                <w:b/>
                <w:bCs/>
              </w:rPr>
            </w:pPr>
            <w:r w:rsidRPr="003C5180">
              <w:rPr>
                <w:rFonts w:cs="Arial"/>
              </w:rPr>
              <w:t>RV</w:t>
            </w:r>
          </w:p>
          <w:p w14:paraId="7EF8579D" w14:textId="77777777" w:rsidR="00E472B0" w:rsidRPr="003C5180" w:rsidRDefault="00E472B0" w:rsidP="00B348AE">
            <w:pPr>
              <w:widowControl w:val="0"/>
              <w:tabs>
                <w:tab w:val="num" w:pos="426"/>
                <w:tab w:val="num" w:pos="644"/>
              </w:tabs>
              <w:jc w:val="center"/>
              <w:rPr>
                <w:rFonts w:cs="Arial"/>
                <w:b/>
                <w:bCs/>
              </w:rPr>
            </w:pPr>
          </w:p>
        </w:tc>
        <w:tc>
          <w:tcPr>
            <w:tcW w:w="1162" w:type="dxa"/>
            <w:tcBorders>
              <w:top w:val="single" w:sz="8" w:space="0" w:color="6D6D6D"/>
              <w:left w:val="single" w:sz="8" w:space="0" w:color="6D6D6D"/>
              <w:bottom w:val="single" w:sz="8" w:space="0" w:color="000000"/>
              <w:right w:val="single" w:sz="8" w:space="0" w:color="000000"/>
            </w:tcBorders>
          </w:tcPr>
          <w:p w14:paraId="18462DC7" w14:textId="77777777" w:rsidR="00E472B0" w:rsidRPr="003C5180" w:rsidRDefault="00E472B0" w:rsidP="00B348AE">
            <w:pPr>
              <w:widowControl w:val="0"/>
              <w:tabs>
                <w:tab w:val="num" w:pos="426"/>
                <w:tab w:val="num" w:pos="644"/>
              </w:tabs>
              <w:jc w:val="center"/>
              <w:rPr>
                <w:rFonts w:cs="Arial"/>
              </w:rPr>
            </w:pPr>
          </w:p>
          <w:p w14:paraId="5756FBFD" w14:textId="77777777" w:rsidR="00E472B0" w:rsidRPr="003C5180" w:rsidRDefault="00E472B0" w:rsidP="00B348AE">
            <w:pPr>
              <w:widowControl w:val="0"/>
              <w:tabs>
                <w:tab w:val="num" w:pos="426"/>
                <w:tab w:val="num" w:pos="644"/>
              </w:tabs>
              <w:jc w:val="center"/>
              <w:rPr>
                <w:rFonts w:cs="Arial"/>
              </w:rPr>
            </w:pPr>
          </w:p>
          <w:p w14:paraId="3F0E0ACD" w14:textId="77777777" w:rsidR="00E472B0" w:rsidRPr="003C5180" w:rsidRDefault="00E472B0" w:rsidP="00B348AE">
            <w:pPr>
              <w:widowControl w:val="0"/>
              <w:tabs>
                <w:tab w:val="num" w:pos="426"/>
                <w:tab w:val="num" w:pos="644"/>
              </w:tabs>
              <w:jc w:val="center"/>
              <w:rPr>
                <w:rFonts w:cs="Arial"/>
              </w:rPr>
            </w:pPr>
            <w:r w:rsidRPr="003C5180">
              <w:rPr>
                <w:rFonts w:cs="Arial"/>
              </w:rPr>
              <w:t>*</w:t>
            </w:r>
          </w:p>
        </w:tc>
        <w:tc>
          <w:tcPr>
            <w:tcW w:w="1392" w:type="dxa"/>
            <w:tcBorders>
              <w:top w:val="single" w:sz="8" w:space="0" w:color="6D6D6D"/>
              <w:left w:val="single" w:sz="8" w:space="0" w:color="6D6D6D"/>
              <w:bottom w:val="single" w:sz="8" w:space="0" w:color="000000"/>
              <w:right w:val="single" w:sz="8" w:space="0" w:color="000000"/>
            </w:tcBorders>
          </w:tcPr>
          <w:p w14:paraId="18C137E9" w14:textId="77777777" w:rsidR="00E472B0" w:rsidRPr="003C5180" w:rsidRDefault="00B51670" w:rsidP="00B348AE">
            <w:pPr>
              <w:widowControl w:val="0"/>
              <w:tabs>
                <w:tab w:val="num" w:pos="426"/>
                <w:tab w:val="num" w:pos="644"/>
              </w:tabs>
              <w:jc w:val="center"/>
              <w:rPr>
                <w:rFonts w:cs="Arial"/>
                <w:b/>
                <w:bCs/>
              </w:rPr>
            </w:pPr>
            <w:r>
              <w:rPr>
                <w:rFonts w:cs="Arial"/>
                <w:b/>
                <w:bCs/>
              </w:rPr>
              <w:t>Bexsero®</w:t>
            </w:r>
          </w:p>
          <w:p w14:paraId="478AAC87" w14:textId="77777777" w:rsidR="00E472B0" w:rsidRPr="003C5180" w:rsidRDefault="00E472B0" w:rsidP="00B348AE">
            <w:pPr>
              <w:widowControl w:val="0"/>
              <w:tabs>
                <w:tab w:val="num" w:pos="426"/>
                <w:tab w:val="num" w:pos="644"/>
              </w:tabs>
              <w:jc w:val="center"/>
              <w:rPr>
                <w:rFonts w:cs="Arial"/>
              </w:rPr>
            </w:pPr>
            <w:r w:rsidRPr="003C5180">
              <w:rPr>
                <w:rFonts w:cs="Arial"/>
              </w:rPr>
              <w:t>RV</w:t>
            </w:r>
          </w:p>
          <w:p w14:paraId="2E098A71" w14:textId="77777777" w:rsidR="00E472B0" w:rsidRPr="003C5180" w:rsidRDefault="00E472B0" w:rsidP="00B348AE">
            <w:pPr>
              <w:widowControl w:val="0"/>
              <w:tabs>
                <w:tab w:val="num" w:pos="426"/>
                <w:tab w:val="num" w:pos="644"/>
              </w:tabs>
              <w:jc w:val="center"/>
              <w:rPr>
                <w:rFonts w:cs="Arial"/>
              </w:rPr>
            </w:pPr>
            <w:r w:rsidRPr="003C5180">
              <w:rPr>
                <w:rFonts w:cs="Arial"/>
              </w:rPr>
              <w:t>*</w:t>
            </w:r>
          </w:p>
        </w:tc>
        <w:tc>
          <w:tcPr>
            <w:tcW w:w="1417" w:type="dxa"/>
            <w:tcBorders>
              <w:top w:val="single" w:sz="8" w:space="0" w:color="6D6D6D"/>
              <w:left w:val="single" w:sz="8" w:space="0" w:color="6D6D6D"/>
              <w:bottom w:val="single" w:sz="8" w:space="0" w:color="000000"/>
              <w:right w:val="single" w:sz="8" w:space="0" w:color="000000"/>
            </w:tcBorders>
          </w:tcPr>
          <w:p w14:paraId="3F10CAE5" w14:textId="77777777" w:rsidR="00E472B0" w:rsidRPr="003C5180" w:rsidRDefault="00E472B0" w:rsidP="00B348AE">
            <w:pPr>
              <w:widowControl w:val="0"/>
              <w:tabs>
                <w:tab w:val="num" w:pos="426"/>
                <w:tab w:val="num" w:pos="644"/>
              </w:tabs>
              <w:jc w:val="center"/>
              <w:rPr>
                <w:rFonts w:cs="Arial"/>
              </w:rPr>
            </w:pPr>
          </w:p>
          <w:p w14:paraId="024495BA" w14:textId="77777777" w:rsidR="00E472B0" w:rsidRPr="003C5180" w:rsidRDefault="00E472B0" w:rsidP="00B348AE">
            <w:pPr>
              <w:widowControl w:val="0"/>
              <w:tabs>
                <w:tab w:val="num" w:pos="426"/>
                <w:tab w:val="num" w:pos="644"/>
              </w:tabs>
              <w:jc w:val="center"/>
              <w:rPr>
                <w:rFonts w:cs="Arial"/>
              </w:rPr>
            </w:pPr>
          </w:p>
          <w:p w14:paraId="1C30AE94" w14:textId="77777777" w:rsidR="00E472B0" w:rsidRPr="003C5180" w:rsidRDefault="00E472B0" w:rsidP="00B348AE">
            <w:pPr>
              <w:widowControl w:val="0"/>
              <w:tabs>
                <w:tab w:val="num" w:pos="426"/>
                <w:tab w:val="num" w:pos="644"/>
              </w:tabs>
              <w:jc w:val="center"/>
              <w:rPr>
                <w:rFonts w:cs="Arial"/>
              </w:rPr>
            </w:pPr>
            <w:r w:rsidRPr="003C5180">
              <w:rPr>
                <w:rFonts w:cs="Arial"/>
              </w:rPr>
              <w:t>*</w:t>
            </w:r>
          </w:p>
        </w:tc>
      </w:tr>
    </w:tbl>
    <w:p w14:paraId="0BDEAB49" w14:textId="77777777" w:rsidR="00517C1B" w:rsidRDefault="00517C1B" w:rsidP="00793CA2">
      <w:pPr>
        <w:widowControl w:val="0"/>
        <w:tabs>
          <w:tab w:val="num" w:pos="426"/>
          <w:tab w:val="num" w:pos="644"/>
        </w:tabs>
        <w:rPr>
          <w:rFonts w:cs="Arial"/>
        </w:rPr>
      </w:pPr>
    </w:p>
    <w:p w14:paraId="785DB954" w14:textId="77777777" w:rsidR="003617EA" w:rsidRDefault="00E472B0" w:rsidP="009C5FAB">
      <w:pPr>
        <w:widowControl w:val="0"/>
        <w:tabs>
          <w:tab w:val="num" w:pos="426"/>
          <w:tab w:val="num" w:pos="644"/>
        </w:tabs>
        <w:spacing w:after="0" w:line="240" w:lineRule="auto"/>
        <w:rPr>
          <w:rFonts w:cs="Arial"/>
        </w:rPr>
      </w:pPr>
      <w:r w:rsidRPr="003C5180">
        <w:rPr>
          <w:rFonts w:cs="Arial"/>
        </w:rPr>
        <w:t>RV=Routine vaccines                               *= Blood sampling</w:t>
      </w:r>
    </w:p>
    <w:p w14:paraId="3E9BB2FE" w14:textId="77777777" w:rsidR="00517C1B" w:rsidRDefault="00517C1B" w:rsidP="009C5FAB">
      <w:pPr>
        <w:widowControl w:val="0"/>
        <w:tabs>
          <w:tab w:val="num" w:pos="426"/>
          <w:tab w:val="num" w:pos="644"/>
        </w:tabs>
        <w:spacing w:after="0" w:line="240" w:lineRule="auto"/>
        <w:rPr>
          <w:rFonts w:cs="Arial"/>
        </w:rPr>
      </w:pPr>
      <w:r>
        <w:rPr>
          <w:rFonts w:cs="Arial"/>
        </w:rPr>
        <w:t>Ages of scheduled vaccination refer to chronological ages.</w:t>
      </w:r>
    </w:p>
    <w:p w14:paraId="54E51960" w14:textId="77777777" w:rsidR="00ED2F59" w:rsidRDefault="00ED2F59" w:rsidP="00793CA2">
      <w:pPr>
        <w:widowControl w:val="0"/>
        <w:tabs>
          <w:tab w:val="num" w:pos="426"/>
          <w:tab w:val="num" w:pos="644"/>
        </w:tabs>
        <w:rPr>
          <w:rFonts w:cs="Arial"/>
        </w:rPr>
      </w:pPr>
    </w:p>
    <w:p w14:paraId="5CD930A4" w14:textId="77777777" w:rsidR="00ED2F59" w:rsidRDefault="00ED2F59" w:rsidP="00793CA2">
      <w:pPr>
        <w:widowControl w:val="0"/>
        <w:tabs>
          <w:tab w:val="num" w:pos="426"/>
          <w:tab w:val="num" w:pos="644"/>
        </w:tabs>
        <w:rPr>
          <w:rFonts w:cs="Arial"/>
        </w:rPr>
      </w:pPr>
    </w:p>
    <w:p w14:paraId="738F65ED" w14:textId="77777777" w:rsidR="00ED2F59" w:rsidRDefault="00ED2F59" w:rsidP="00793CA2">
      <w:pPr>
        <w:widowControl w:val="0"/>
        <w:tabs>
          <w:tab w:val="num" w:pos="426"/>
          <w:tab w:val="num" w:pos="644"/>
        </w:tabs>
        <w:rPr>
          <w:rFonts w:cs="Arial"/>
        </w:rPr>
      </w:pPr>
    </w:p>
    <w:p w14:paraId="2E2F9907" w14:textId="77777777" w:rsidR="00ED2F59" w:rsidRDefault="00ED2F59" w:rsidP="00793CA2">
      <w:pPr>
        <w:widowControl w:val="0"/>
        <w:tabs>
          <w:tab w:val="num" w:pos="426"/>
          <w:tab w:val="num" w:pos="644"/>
        </w:tabs>
        <w:rPr>
          <w:rFonts w:cs="Arial"/>
        </w:rPr>
      </w:pPr>
    </w:p>
    <w:p w14:paraId="6089F0BB" w14:textId="77777777" w:rsidR="00ED2F59" w:rsidRDefault="00ED2F59" w:rsidP="00793CA2">
      <w:pPr>
        <w:widowControl w:val="0"/>
        <w:tabs>
          <w:tab w:val="num" w:pos="426"/>
          <w:tab w:val="num" w:pos="644"/>
        </w:tabs>
        <w:rPr>
          <w:rFonts w:cs="Arial"/>
        </w:rPr>
      </w:pPr>
    </w:p>
    <w:p w14:paraId="647E2C43" w14:textId="77777777" w:rsidR="00ED2F59" w:rsidRDefault="00ED2F59" w:rsidP="00793CA2">
      <w:pPr>
        <w:widowControl w:val="0"/>
        <w:tabs>
          <w:tab w:val="num" w:pos="426"/>
          <w:tab w:val="num" w:pos="644"/>
        </w:tabs>
        <w:rPr>
          <w:rFonts w:cs="Arial"/>
        </w:rPr>
      </w:pPr>
    </w:p>
    <w:p w14:paraId="15DF399B" w14:textId="77777777" w:rsidR="00ED2F59" w:rsidRDefault="00ED2F59" w:rsidP="00793CA2">
      <w:pPr>
        <w:widowControl w:val="0"/>
        <w:tabs>
          <w:tab w:val="num" w:pos="426"/>
          <w:tab w:val="num" w:pos="644"/>
        </w:tabs>
        <w:rPr>
          <w:rFonts w:cs="Arial"/>
        </w:rPr>
      </w:pPr>
    </w:p>
    <w:p w14:paraId="70196276" w14:textId="77777777" w:rsidR="00ED2F59" w:rsidRDefault="00ED2F59" w:rsidP="00793CA2">
      <w:pPr>
        <w:widowControl w:val="0"/>
        <w:tabs>
          <w:tab w:val="num" w:pos="426"/>
          <w:tab w:val="num" w:pos="644"/>
        </w:tabs>
        <w:rPr>
          <w:rFonts w:cs="Arial"/>
        </w:rPr>
      </w:pPr>
    </w:p>
    <w:p w14:paraId="4FF06C2F" w14:textId="77777777" w:rsidR="00467935" w:rsidRDefault="00467935" w:rsidP="00793CA2">
      <w:pPr>
        <w:widowControl w:val="0"/>
        <w:tabs>
          <w:tab w:val="num" w:pos="426"/>
          <w:tab w:val="num" w:pos="644"/>
        </w:tabs>
        <w:rPr>
          <w:rFonts w:cs="Arial"/>
        </w:rPr>
      </w:pPr>
    </w:p>
    <w:p w14:paraId="5573234F" w14:textId="77777777" w:rsidR="00DC1E5B" w:rsidRDefault="006753C3" w:rsidP="00DC1E5B">
      <w:pPr>
        <w:pStyle w:val="Heading2"/>
        <w:numPr>
          <w:ilvl w:val="1"/>
          <w:numId w:val="15"/>
        </w:numPr>
        <w:rPr>
          <w:rFonts w:cs="Tahoma"/>
          <w:sz w:val="24"/>
          <w:lang w:eastAsia="en-GB"/>
        </w:rPr>
      </w:pPr>
      <w:bookmarkStart w:id="42" w:name="_Toc470102464"/>
      <w:r w:rsidRPr="003C5180">
        <w:rPr>
          <w:rFonts w:cs="Tahoma"/>
          <w:sz w:val="24"/>
          <w:lang w:eastAsia="en-GB"/>
        </w:rPr>
        <w:t>Schematic of trial design</w:t>
      </w:r>
      <w:bookmarkStart w:id="43" w:name="_Toc261532663"/>
      <w:bookmarkEnd w:id="42"/>
    </w:p>
    <w:p w14:paraId="3D1E7E8B" w14:textId="77777777" w:rsidR="00517C1B" w:rsidRPr="00EA3B12" w:rsidRDefault="005138B0" w:rsidP="00CB69DF">
      <w:pPr>
        <w:pStyle w:val="Heading2"/>
        <w:numPr>
          <w:ilvl w:val="0"/>
          <w:numId w:val="0"/>
        </w:numPr>
        <w:ind w:left="142"/>
        <w:rPr>
          <w:rFonts w:cs="Tahoma"/>
          <w:sz w:val="24"/>
          <w:lang w:eastAsia="en-GB"/>
        </w:rPr>
      </w:pPr>
      <w:r>
        <w:rPr>
          <w:i/>
        </w:rPr>
        <w:t>Study procedures</w:t>
      </w:r>
    </w:p>
    <w:tbl>
      <w:tblPr>
        <w:tblW w:w="10421" w:type="dxa"/>
        <w:tblInd w:w="-64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334"/>
        <w:gridCol w:w="1134"/>
        <w:gridCol w:w="992"/>
        <w:gridCol w:w="992"/>
        <w:gridCol w:w="992"/>
        <w:gridCol w:w="993"/>
        <w:gridCol w:w="992"/>
        <w:gridCol w:w="992"/>
      </w:tblGrid>
      <w:tr w:rsidR="00D178F9" w:rsidRPr="003C5180" w14:paraId="344DC437" w14:textId="77777777" w:rsidTr="00F4235D">
        <w:trPr>
          <w:trHeight w:val="900"/>
        </w:trPr>
        <w:tc>
          <w:tcPr>
            <w:tcW w:w="3334" w:type="dxa"/>
            <w:shd w:val="clear" w:color="auto" w:fill="FFF2CC"/>
          </w:tcPr>
          <w:p w14:paraId="55E9631A" w14:textId="77777777" w:rsidR="00DC1E5B" w:rsidRPr="003C5180" w:rsidRDefault="00B348AE" w:rsidP="00EA3B12">
            <w:pPr>
              <w:jc w:val="center"/>
              <w:rPr>
                <w:lang w:eastAsia="en-GB"/>
              </w:rPr>
            </w:pPr>
            <w:r w:rsidRPr="003C5180">
              <w:rPr>
                <w:lang w:eastAsia="en-GB"/>
              </w:rPr>
              <w:t>Study procedures</w:t>
            </w:r>
          </w:p>
        </w:tc>
        <w:tc>
          <w:tcPr>
            <w:tcW w:w="1134" w:type="dxa"/>
            <w:shd w:val="clear" w:color="auto" w:fill="FFF2CC"/>
          </w:tcPr>
          <w:p w14:paraId="758BB6A8" w14:textId="77777777" w:rsidR="00DC1E5B" w:rsidRPr="003C5180" w:rsidRDefault="00EA3B12" w:rsidP="00EA3B12">
            <w:pPr>
              <w:rPr>
                <w:lang w:eastAsia="en-GB"/>
              </w:rPr>
            </w:pPr>
            <w:r>
              <w:rPr>
                <w:lang w:eastAsia="en-GB"/>
              </w:rPr>
              <w:t>Screening</w:t>
            </w:r>
          </w:p>
        </w:tc>
        <w:tc>
          <w:tcPr>
            <w:tcW w:w="992" w:type="dxa"/>
            <w:shd w:val="clear" w:color="auto" w:fill="FFF2CC"/>
          </w:tcPr>
          <w:p w14:paraId="0BEB3F8C" w14:textId="77777777" w:rsidR="00EC7DEA" w:rsidRPr="003C5180" w:rsidRDefault="00B348AE" w:rsidP="00464477">
            <w:pPr>
              <w:jc w:val="center"/>
              <w:rPr>
                <w:lang w:eastAsia="en-GB"/>
              </w:rPr>
            </w:pPr>
            <w:r w:rsidRPr="003C5180">
              <w:rPr>
                <w:lang w:eastAsia="en-GB"/>
              </w:rPr>
              <w:t>2 months</w:t>
            </w:r>
            <w:r w:rsidR="00EC7DEA">
              <w:rPr>
                <w:lang w:eastAsia="en-GB"/>
              </w:rPr>
              <w:t>V1</w:t>
            </w:r>
          </w:p>
        </w:tc>
        <w:tc>
          <w:tcPr>
            <w:tcW w:w="992" w:type="dxa"/>
            <w:shd w:val="clear" w:color="auto" w:fill="FFF2CC"/>
          </w:tcPr>
          <w:p w14:paraId="5AF1A2B8" w14:textId="77777777" w:rsidR="00EC7DEA" w:rsidRPr="003C5180" w:rsidRDefault="00B348AE" w:rsidP="00464477">
            <w:pPr>
              <w:jc w:val="center"/>
              <w:rPr>
                <w:lang w:eastAsia="en-GB"/>
              </w:rPr>
            </w:pPr>
            <w:r w:rsidRPr="003C5180">
              <w:rPr>
                <w:lang w:eastAsia="en-GB"/>
              </w:rPr>
              <w:t>3 months</w:t>
            </w:r>
            <w:r w:rsidR="00EC7DEA">
              <w:rPr>
                <w:lang w:eastAsia="en-GB"/>
              </w:rPr>
              <w:t>V2</w:t>
            </w:r>
          </w:p>
        </w:tc>
        <w:tc>
          <w:tcPr>
            <w:tcW w:w="992" w:type="dxa"/>
            <w:shd w:val="clear" w:color="auto" w:fill="FFF2CC"/>
          </w:tcPr>
          <w:p w14:paraId="02FC43EA" w14:textId="77777777" w:rsidR="00B579C5" w:rsidRPr="003C5180" w:rsidRDefault="00B348AE" w:rsidP="00464477">
            <w:pPr>
              <w:jc w:val="center"/>
              <w:rPr>
                <w:lang w:eastAsia="en-GB"/>
              </w:rPr>
            </w:pPr>
            <w:r w:rsidRPr="003C5180">
              <w:rPr>
                <w:lang w:eastAsia="en-GB"/>
              </w:rPr>
              <w:t>4 months</w:t>
            </w:r>
            <w:r w:rsidR="00B579C5">
              <w:rPr>
                <w:lang w:eastAsia="en-GB"/>
              </w:rPr>
              <w:t>V3</w:t>
            </w:r>
          </w:p>
        </w:tc>
        <w:tc>
          <w:tcPr>
            <w:tcW w:w="993" w:type="dxa"/>
            <w:shd w:val="clear" w:color="auto" w:fill="FFF2CC"/>
          </w:tcPr>
          <w:p w14:paraId="22C61E09" w14:textId="77777777" w:rsidR="00B579C5" w:rsidRPr="003C5180" w:rsidRDefault="00B348AE" w:rsidP="00464477">
            <w:pPr>
              <w:jc w:val="center"/>
              <w:rPr>
                <w:lang w:eastAsia="en-GB"/>
              </w:rPr>
            </w:pPr>
            <w:r w:rsidRPr="003C5180">
              <w:rPr>
                <w:lang w:eastAsia="en-GB"/>
              </w:rPr>
              <w:t>5 months</w:t>
            </w:r>
            <w:r w:rsidR="00B579C5">
              <w:rPr>
                <w:lang w:eastAsia="en-GB"/>
              </w:rPr>
              <w:t>V4</w:t>
            </w:r>
          </w:p>
        </w:tc>
        <w:tc>
          <w:tcPr>
            <w:tcW w:w="992" w:type="dxa"/>
            <w:shd w:val="clear" w:color="auto" w:fill="FFF2CC"/>
          </w:tcPr>
          <w:p w14:paraId="257AF153" w14:textId="77777777" w:rsidR="00B579C5" w:rsidRPr="003C5180" w:rsidRDefault="00B348AE" w:rsidP="00464477">
            <w:pPr>
              <w:jc w:val="center"/>
              <w:rPr>
                <w:lang w:eastAsia="en-GB"/>
              </w:rPr>
            </w:pPr>
            <w:r w:rsidRPr="003C5180">
              <w:rPr>
                <w:lang w:eastAsia="en-GB"/>
              </w:rPr>
              <w:t>12 months</w:t>
            </w:r>
            <w:r w:rsidR="00B579C5">
              <w:rPr>
                <w:lang w:eastAsia="en-GB"/>
              </w:rPr>
              <w:t>V5</w:t>
            </w:r>
          </w:p>
        </w:tc>
        <w:tc>
          <w:tcPr>
            <w:tcW w:w="992" w:type="dxa"/>
            <w:shd w:val="clear" w:color="auto" w:fill="FFF2CC"/>
          </w:tcPr>
          <w:p w14:paraId="7888D484" w14:textId="77777777" w:rsidR="00B579C5" w:rsidRPr="003C5180" w:rsidRDefault="00B348AE" w:rsidP="00464477">
            <w:pPr>
              <w:jc w:val="center"/>
              <w:rPr>
                <w:lang w:eastAsia="en-GB"/>
              </w:rPr>
            </w:pPr>
            <w:r w:rsidRPr="003C5180">
              <w:rPr>
                <w:lang w:eastAsia="en-GB"/>
              </w:rPr>
              <w:t>13 months</w:t>
            </w:r>
            <w:r w:rsidR="00B579C5">
              <w:rPr>
                <w:lang w:eastAsia="en-GB"/>
              </w:rPr>
              <w:t>V6</w:t>
            </w:r>
          </w:p>
        </w:tc>
      </w:tr>
      <w:tr w:rsidR="00B348AE" w:rsidRPr="003C5180" w14:paraId="283E8C24" w14:textId="77777777" w:rsidTr="00F4235D">
        <w:trPr>
          <w:trHeight w:val="360"/>
        </w:trPr>
        <w:tc>
          <w:tcPr>
            <w:tcW w:w="3334" w:type="dxa"/>
            <w:tcBorders>
              <w:bottom w:val="single" w:sz="4" w:space="0" w:color="auto"/>
            </w:tcBorders>
            <w:shd w:val="clear" w:color="auto" w:fill="auto"/>
          </w:tcPr>
          <w:p w14:paraId="266D39FD" w14:textId="77777777" w:rsidR="00DC1E5B" w:rsidRPr="003C5180" w:rsidRDefault="00D178F9" w:rsidP="00DC1E5B">
            <w:pPr>
              <w:rPr>
                <w:lang w:eastAsia="en-GB"/>
              </w:rPr>
            </w:pPr>
            <w:r w:rsidRPr="003C5180">
              <w:rPr>
                <w:lang w:eastAsia="en-GB"/>
              </w:rPr>
              <w:t>Discuss study with parent/guardian</w:t>
            </w:r>
          </w:p>
        </w:tc>
        <w:tc>
          <w:tcPr>
            <w:tcW w:w="1134" w:type="dxa"/>
            <w:tcBorders>
              <w:bottom w:val="single" w:sz="4" w:space="0" w:color="auto"/>
            </w:tcBorders>
            <w:shd w:val="clear" w:color="auto" w:fill="auto"/>
          </w:tcPr>
          <w:p w14:paraId="475667BE" w14:textId="77777777" w:rsidR="00DC1E5B" w:rsidRPr="003C5180" w:rsidRDefault="00D178F9" w:rsidP="00D178F9">
            <w:pPr>
              <w:rPr>
                <w:lang w:eastAsia="en-GB"/>
              </w:rPr>
            </w:pPr>
            <w:r w:rsidRPr="001905CA">
              <w:rPr>
                <w:rFonts w:ascii="Segoe UI Symbol" w:hAnsi="Segoe UI Symbol" w:cs="Segoe UI Symbol"/>
                <w:lang w:eastAsia="en-GB"/>
              </w:rPr>
              <w:t>✓</w:t>
            </w:r>
          </w:p>
        </w:tc>
        <w:tc>
          <w:tcPr>
            <w:tcW w:w="992" w:type="dxa"/>
            <w:tcBorders>
              <w:bottom w:val="single" w:sz="4" w:space="0" w:color="auto"/>
            </w:tcBorders>
            <w:shd w:val="clear" w:color="auto" w:fill="auto"/>
          </w:tcPr>
          <w:p w14:paraId="58D6ACC7" w14:textId="77777777" w:rsidR="00DC1E5B" w:rsidRPr="003C5180" w:rsidRDefault="00DC1E5B" w:rsidP="002E5874">
            <w:pPr>
              <w:spacing w:after="0" w:line="240" w:lineRule="auto"/>
              <w:rPr>
                <w:lang w:eastAsia="en-GB"/>
              </w:rPr>
            </w:pPr>
          </w:p>
          <w:p w14:paraId="3EAF3672" w14:textId="77777777" w:rsidR="00DC1E5B" w:rsidRPr="003C5180" w:rsidRDefault="00DC1E5B" w:rsidP="00DC1E5B">
            <w:pPr>
              <w:rPr>
                <w:lang w:eastAsia="en-GB"/>
              </w:rPr>
            </w:pPr>
          </w:p>
        </w:tc>
        <w:tc>
          <w:tcPr>
            <w:tcW w:w="992" w:type="dxa"/>
            <w:tcBorders>
              <w:bottom w:val="single" w:sz="4" w:space="0" w:color="auto"/>
            </w:tcBorders>
            <w:shd w:val="clear" w:color="auto" w:fill="auto"/>
          </w:tcPr>
          <w:p w14:paraId="62C87952" w14:textId="77777777" w:rsidR="00DC1E5B" w:rsidRPr="003C5180" w:rsidRDefault="00DC1E5B" w:rsidP="002E5874">
            <w:pPr>
              <w:spacing w:after="0" w:line="240" w:lineRule="auto"/>
              <w:rPr>
                <w:lang w:eastAsia="en-GB"/>
              </w:rPr>
            </w:pPr>
          </w:p>
          <w:p w14:paraId="3FE32AB0" w14:textId="77777777" w:rsidR="00DC1E5B" w:rsidRPr="003C5180" w:rsidRDefault="00DC1E5B" w:rsidP="00DC1E5B">
            <w:pPr>
              <w:rPr>
                <w:lang w:eastAsia="en-GB"/>
              </w:rPr>
            </w:pPr>
          </w:p>
        </w:tc>
        <w:tc>
          <w:tcPr>
            <w:tcW w:w="992" w:type="dxa"/>
            <w:tcBorders>
              <w:bottom w:val="single" w:sz="4" w:space="0" w:color="auto"/>
            </w:tcBorders>
            <w:shd w:val="clear" w:color="auto" w:fill="auto"/>
          </w:tcPr>
          <w:p w14:paraId="08E96AFF" w14:textId="77777777" w:rsidR="00DC1E5B" w:rsidRPr="003C5180" w:rsidRDefault="00DC1E5B" w:rsidP="002E5874">
            <w:pPr>
              <w:spacing w:after="0" w:line="240" w:lineRule="auto"/>
              <w:rPr>
                <w:lang w:eastAsia="en-GB"/>
              </w:rPr>
            </w:pPr>
          </w:p>
          <w:p w14:paraId="7DBA6FEE" w14:textId="77777777" w:rsidR="00DC1E5B" w:rsidRPr="003C5180" w:rsidRDefault="00DC1E5B" w:rsidP="00DC1E5B">
            <w:pPr>
              <w:rPr>
                <w:lang w:eastAsia="en-GB"/>
              </w:rPr>
            </w:pPr>
          </w:p>
        </w:tc>
        <w:tc>
          <w:tcPr>
            <w:tcW w:w="993" w:type="dxa"/>
            <w:tcBorders>
              <w:bottom w:val="single" w:sz="4" w:space="0" w:color="auto"/>
            </w:tcBorders>
            <w:shd w:val="clear" w:color="auto" w:fill="auto"/>
          </w:tcPr>
          <w:p w14:paraId="7464FF9C" w14:textId="77777777" w:rsidR="00DC1E5B" w:rsidRPr="003C5180" w:rsidRDefault="00DC1E5B" w:rsidP="002E5874">
            <w:pPr>
              <w:spacing w:after="0" w:line="240" w:lineRule="auto"/>
              <w:rPr>
                <w:lang w:eastAsia="en-GB"/>
              </w:rPr>
            </w:pPr>
          </w:p>
          <w:p w14:paraId="61AEF124" w14:textId="77777777" w:rsidR="00DC1E5B" w:rsidRPr="003C5180" w:rsidRDefault="00DC1E5B" w:rsidP="00DC1E5B">
            <w:pPr>
              <w:rPr>
                <w:lang w:eastAsia="en-GB"/>
              </w:rPr>
            </w:pPr>
          </w:p>
        </w:tc>
        <w:tc>
          <w:tcPr>
            <w:tcW w:w="992" w:type="dxa"/>
            <w:tcBorders>
              <w:bottom w:val="single" w:sz="4" w:space="0" w:color="auto"/>
            </w:tcBorders>
            <w:shd w:val="clear" w:color="auto" w:fill="auto"/>
          </w:tcPr>
          <w:p w14:paraId="0F65DA75" w14:textId="77777777" w:rsidR="00DC1E5B" w:rsidRPr="003C5180" w:rsidRDefault="00DC1E5B" w:rsidP="002E5874">
            <w:pPr>
              <w:spacing w:after="0" w:line="240" w:lineRule="auto"/>
              <w:rPr>
                <w:lang w:eastAsia="en-GB"/>
              </w:rPr>
            </w:pPr>
          </w:p>
          <w:p w14:paraId="517A6EF4" w14:textId="77777777" w:rsidR="00DC1E5B" w:rsidRPr="003C5180" w:rsidRDefault="00DC1E5B" w:rsidP="00DC1E5B">
            <w:pPr>
              <w:rPr>
                <w:lang w:eastAsia="en-GB"/>
              </w:rPr>
            </w:pPr>
          </w:p>
        </w:tc>
        <w:tc>
          <w:tcPr>
            <w:tcW w:w="992" w:type="dxa"/>
            <w:tcBorders>
              <w:bottom w:val="single" w:sz="4" w:space="0" w:color="auto"/>
            </w:tcBorders>
            <w:shd w:val="clear" w:color="auto" w:fill="auto"/>
          </w:tcPr>
          <w:p w14:paraId="60FF662C" w14:textId="77777777" w:rsidR="00DC1E5B" w:rsidRPr="003C5180" w:rsidRDefault="00DC1E5B" w:rsidP="002E5874">
            <w:pPr>
              <w:spacing w:after="0" w:line="240" w:lineRule="auto"/>
              <w:rPr>
                <w:lang w:eastAsia="en-GB"/>
              </w:rPr>
            </w:pPr>
          </w:p>
          <w:p w14:paraId="40FF9687" w14:textId="77777777" w:rsidR="00DC1E5B" w:rsidRPr="003C5180" w:rsidRDefault="00DC1E5B" w:rsidP="00DC1E5B">
            <w:pPr>
              <w:rPr>
                <w:lang w:eastAsia="en-GB"/>
              </w:rPr>
            </w:pPr>
          </w:p>
        </w:tc>
      </w:tr>
      <w:tr w:rsidR="00B348AE" w:rsidRPr="003C5180" w14:paraId="5C67F99D" w14:textId="77777777" w:rsidTr="00F4235D">
        <w:trPr>
          <w:trHeight w:val="450"/>
        </w:trPr>
        <w:tc>
          <w:tcPr>
            <w:tcW w:w="3334" w:type="dxa"/>
            <w:tcBorders>
              <w:top w:val="single" w:sz="4" w:space="0" w:color="auto"/>
              <w:bottom w:val="single" w:sz="4" w:space="0" w:color="auto"/>
            </w:tcBorders>
            <w:shd w:val="clear" w:color="auto" w:fill="auto"/>
          </w:tcPr>
          <w:p w14:paraId="0293056B" w14:textId="77777777" w:rsidR="00DC1E5B" w:rsidRPr="003C5180" w:rsidRDefault="00D178F9" w:rsidP="00DC1E5B">
            <w:pPr>
              <w:rPr>
                <w:lang w:eastAsia="en-GB"/>
              </w:rPr>
            </w:pPr>
            <w:r w:rsidRPr="003C5180">
              <w:rPr>
                <w:lang w:eastAsia="en-GB"/>
              </w:rPr>
              <w:t>Check eligibility criteria</w:t>
            </w:r>
          </w:p>
        </w:tc>
        <w:tc>
          <w:tcPr>
            <w:tcW w:w="1134" w:type="dxa"/>
            <w:tcBorders>
              <w:top w:val="single" w:sz="4" w:space="0" w:color="auto"/>
              <w:bottom w:val="single" w:sz="4" w:space="0" w:color="auto"/>
            </w:tcBorders>
            <w:shd w:val="clear" w:color="auto" w:fill="auto"/>
          </w:tcPr>
          <w:p w14:paraId="5D438028" w14:textId="77777777" w:rsidR="00DC1E5B" w:rsidRPr="003C5180" w:rsidRDefault="00D178F9" w:rsidP="00D178F9">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019877C6" w14:textId="77777777" w:rsidR="00DC1E5B" w:rsidRPr="003C5180" w:rsidRDefault="00DC1E5B" w:rsidP="002E5874">
            <w:pPr>
              <w:spacing w:after="0" w:line="240" w:lineRule="auto"/>
              <w:rPr>
                <w:lang w:eastAsia="en-GB"/>
              </w:rPr>
            </w:pPr>
          </w:p>
          <w:p w14:paraId="51378700"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5A42DAF3"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51D67A50" w14:textId="77777777" w:rsidR="00DC1E5B" w:rsidRPr="003C5180" w:rsidRDefault="00DC1E5B" w:rsidP="00DC1E5B">
            <w:pPr>
              <w:rPr>
                <w:lang w:eastAsia="en-GB"/>
              </w:rPr>
            </w:pPr>
          </w:p>
        </w:tc>
        <w:tc>
          <w:tcPr>
            <w:tcW w:w="993" w:type="dxa"/>
            <w:tcBorders>
              <w:top w:val="single" w:sz="4" w:space="0" w:color="auto"/>
              <w:bottom w:val="single" w:sz="4" w:space="0" w:color="auto"/>
            </w:tcBorders>
            <w:shd w:val="clear" w:color="auto" w:fill="auto"/>
          </w:tcPr>
          <w:p w14:paraId="2C1F2754"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42349A4E"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7710858A" w14:textId="77777777" w:rsidR="00DC1E5B" w:rsidRPr="003C5180" w:rsidRDefault="00DC1E5B" w:rsidP="002E5874">
            <w:pPr>
              <w:spacing w:after="0" w:line="240" w:lineRule="auto"/>
              <w:rPr>
                <w:lang w:eastAsia="en-GB"/>
              </w:rPr>
            </w:pPr>
          </w:p>
          <w:p w14:paraId="4FDFEBDA" w14:textId="77777777" w:rsidR="00DC1E5B" w:rsidRPr="003C5180" w:rsidRDefault="00DC1E5B" w:rsidP="00DC1E5B">
            <w:pPr>
              <w:rPr>
                <w:lang w:eastAsia="en-GB"/>
              </w:rPr>
            </w:pPr>
          </w:p>
        </w:tc>
      </w:tr>
      <w:tr w:rsidR="00B348AE" w:rsidRPr="003C5180" w14:paraId="15ED77E2" w14:textId="77777777" w:rsidTr="00F4235D">
        <w:trPr>
          <w:trHeight w:val="435"/>
        </w:trPr>
        <w:tc>
          <w:tcPr>
            <w:tcW w:w="3334" w:type="dxa"/>
            <w:tcBorders>
              <w:top w:val="single" w:sz="4" w:space="0" w:color="auto"/>
              <w:bottom w:val="single" w:sz="4" w:space="0" w:color="auto"/>
            </w:tcBorders>
            <w:shd w:val="clear" w:color="auto" w:fill="auto"/>
          </w:tcPr>
          <w:p w14:paraId="1BDFD9B3" w14:textId="77777777" w:rsidR="00DC1E5B" w:rsidRPr="003C5180" w:rsidRDefault="00D178F9" w:rsidP="00DC1E5B">
            <w:pPr>
              <w:rPr>
                <w:lang w:eastAsia="en-GB"/>
              </w:rPr>
            </w:pPr>
            <w:r w:rsidRPr="003C5180">
              <w:rPr>
                <w:lang w:eastAsia="en-GB"/>
              </w:rPr>
              <w:t>Arrange first appointment</w:t>
            </w:r>
          </w:p>
        </w:tc>
        <w:tc>
          <w:tcPr>
            <w:tcW w:w="1134" w:type="dxa"/>
            <w:tcBorders>
              <w:top w:val="single" w:sz="4" w:space="0" w:color="auto"/>
              <w:bottom w:val="single" w:sz="4" w:space="0" w:color="auto"/>
            </w:tcBorders>
            <w:shd w:val="clear" w:color="auto" w:fill="auto"/>
          </w:tcPr>
          <w:p w14:paraId="75AF5D73" w14:textId="77777777" w:rsidR="00DC1E5B" w:rsidRPr="003C5180" w:rsidRDefault="00D178F9" w:rsidP="00D178F9">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63A0F22C"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30776351"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6F29F264" w14:textId="77777777" w:rsidR="00DC1E5B" w:rsidRPr="003C5180" w:rsidRDefault="00DC1E5B" w:rsidP="00DC1E5B">
            <w:pPr>
              <w:rPr>
                <w:lang w:eastAsia="en-GB"/>
              </w:rPr>
            </w:pPr>
          </w:p>
        </w:tc>
        <w:tc>
          <w:tcPr>
            <w:tcW w:w="993" w:type="dxa"/>
            <w:tcBorders>
              <w:top w:val="single" w:sz="4" w:space="0" w:color="auto"/>
              <w:bottom w:val="single" w:sz="4" w:space="0" w:color="auto"/>
            </w:tcBorders>
            <w:shd w:val="clear" w:color="auto" w:fill="auto"/>
          </w:tcPr>
          <w:p w14:paraId="3744C99C"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64F73312"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7A6F2BBA" w14:textId="77777777" w:rsidR="00DC1E5B" w:rsidRPr="003C5180" w:rsidRDefault="00DC1E5B" w:rsidP="00DC1E5B">
            <w:pPr>
              <w:rPr>
                <w:lang w:eastAsia="en-GB"/>
              </w:rPr>
            </w:pPr>
          </w:p>
        </w:tc>
      </w:tr>
      <w:tr w:rsidR="00B348AE" w:rsidRPr="003C5180" w14:paraId="69691067" w14:textId="77777777" w:rsidTr="00F4235D">
        <w:trPr>
          <w:trHeight w:val="570"/>
        </w:trPr>
        <w:tc>
          <w:tcPr>
            <w:tcW w:w="3334" w:type="dxa"/>
            <w:tcBorders>
              <w:top w:val="single" w:sz="4" w:space="0" w:color="auto"/>
              <w:bottom w:val="single" w:sz="4" w:space="0" w:color="auto"/>
            </w:tcBorders>
            <w:shd w:val="clear" w:color="auto" w:fill="auto"/>
          </w:tcPr>
          <w:p w14:paraId="521CCF93" w14:textId="77777777" w:rsidR="00DC1E5B" w:rsidRPr="003C5180" w:rsidRDefault="001B0691" w:rsidP="00DC1E5B">
            <w:pPr>
              <w:rPr>
                <w:lang w:eastAsia="en-GB"/>
              </w:rPr>
            </w:pPr>
            <w:r w:rsidRPr="003C5180">
              <w:rPr>
                <w:lang w:eastAsia="en-GB"/>
              </w:rPr>
              <w:t>Reconfirm eligibility</w:t>
            </w:r>
          </w:p>
        </w:tc>
        <w:tc>
          <w:tcPr>
            <w:tcW w:w="1134" w:type="dxa"/>
            <w:tcBorders>
              <w:top w:val="single" w:sz="4" w:space="0" w:color="auto"/>
              <w:bottom w:val="single" w:sz="4" w:space="0" w:color="auto"/>
            </w:tcBorders>
            <w:shd w:val="clear" w:color="auto" w:fill="auto"/>
          </w:tcPr>
          <w:p w14:paraId="36541644"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52E6FCB4" w14:textId="77777777" w:rsidR="00DC1E5B" w:rsidRPr="003C5180" w:rsidRDefault="001B0691"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0279629B"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05C8864A" w14:textId="77777777" w:rsidR="00DC1E5B" w:rsidRPr="003C5180" w:rsidRDefault="00DC1E5B" w:rsidP="00DC1E5B">
            <w:pPr>
              <w:rPr>
                <w:lang w:eastAsia="en-GB"/>
              </w:rPr>
            </w:pPr>
          </w:p>
        </w:tc>
        <w:tc>
          <w:tcPr>
            <w:tcW w:w="993" w:type="dxa"/>
            <w:tcBorders>
              <w:top w:val="single" w:sz="4" w:space="0" w:color="auto"/>
              <w:bottom w:val="single" w:sz="4" w:space="0" w:color="auto"/>
            </w:tcBorders>
            <w:shd w:val="clear" w:color="auto" w:fill="auto"/>
          </w:tcPr>
          <w:p w14:paraId="78D47E47"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0AFD5FE0"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3553C2E8" w14:textId="77777777" w:rsidR="00DC1E5B" w:rsidRPr="003C5180" w:rsidRDefault="00DC1E5B" w:rsidP="00DC1E5B">
            <w:pPr>
              <w:rPr>
                <w:lang w:eastAsia="en-GB"/>
              </w:rPr>
            </w:pPr>
          </w:p>
        </w:tc>
      </w:tr>
      <w:tr w:rsidR="00B348AE" w:rsidRPr="003C5180" w14:paraId="59FB304F" w14:textId="77777777" w:rsidTr="00F4235D">
        <w:trPr>
          <w:trHeight w:val="299"/>
        </w:trPr>
        <w:tc>
          <w:tcPr>
            <w:tcW w:w="3334" w:type="dxa"/>
            <w:tcBorders>
              <w:top w:val="single" w:sz="4" w:space="0" w:color="auto"/>
              <w:bottom w:val="single" w:sz="4" w:space="0" w:color="auto"/>
            </w:tcBorders>
            <w:shd w:val="clear" w:color="auto" w:fill="auto"/>
          </w:tcPr>
          <w:p w14:paraId="7EA71C40" w14:textId="77777777" w:rsidR="00DC1E5B" w:rsidRPr="003C5180" w:rsidRDefault="001B0691" w:rsidP="00DC1E5B">
            <w:pPr>
              <w:rPr>
                <w:lang w:eastAsia="en-GB"/>
              </w:rPr>
            </w:pPr>
            <w:r w:rsidRPr="003C5180">
              <w:rPr>
                <w:lang w:eastAsia="en-GB"/>
              </w:rPr>
              <w:t>Informed Consent</w:t>
            </w:r>
          </w:p>
        </w:tc>
        <w:tc>
          <w:tcPr>
            <w:tcW w:w="1134" w:type="dxa"/>
            <w:tcBorders>
              <w:top w:val="single" w:sz="4" w:space="0" w:color="auto"/>
              <w:bottom w:val="single" w:sz="4" w:space="0" w:color="auto"/>
            </w:tcBorders>
            <w:shd w:val="clear" w:color="auto" w:fill="auto"/>
          </w:tcPr>
          <w:p w14:paraId="6BF3C579" w14:textId="77777777" w:rsidR="00DC1E5B" w:rsidRPr="003C5180" w:rsidRDefault="00D035BC" w:rsidP="00F00309">
            <w:pPr>
              <w:rPr>
                <w:lang w:eastAsia="en-GB"/>
              </w:rPr>
            </w:pPr>
            <w:bookmarkStart w:id="44" w:name="OLE_LINK32"/>
            <w:r w:rsidRPr="00D96728">
              <w:rPr>
                <w:rFonts w:ascii="Segoe UI Symbol" w:hAnsi="Segoe UI Symbol" w:cs="Segoe UI Symbol"/>
                <w:lang w:eastAsia="en-GB"/>
              </w:rPr>
              <w:t>✓</w:t>
            </w:r>
            <w:bookmarkEnd w:id="44"/>
            <w:r>
              <w:rPr>
                <w:rFonts w:ascii="Segoe UI Symbol" w:hAnsi="Segoe UI Symbol" w:cs="Segoe UI Symbol"/>
                <w:lang w:eastAsia="en-GB"/>
              </w:rPr>
              <w:t xml:space="preserve"> </w:t>
            </w:r>
            <w:r w:rsidRPr="00F4235D">
              <w:rPr>
                <w:rFonts w:ascii="Franklin Gothic Book" w:hAnsi="Franklin Gothic Book" w:cs="Segoe UI Symbol"/>
                <w:sz w:val="16"/>
                <w:szCs w:val="16"/>
                <w:lang w:eastAsia="en-GB"/>
              </w:rPr>
              <w:t>(Can be done at this visit)</w:t>
            </w:r>
          </w:p>
        </w:tc>
        <w:tc>
          <w:tcPr>
            <w:tcW w:w="992" w:type="dxa"/>
            <w:tcBorders>
              <w:top w:val="single" w:sz="4" w:space="0" w:color="auto"/>
              <w:bottom w:val="single" w:sz="4" w:space="0" w:color="auto"/>
            </w:tcBorders>
            <w:shd w:val="clear" w:color="auto" w:fill="auto"/>
          </w:tcPr>
          <w:p w14:paraId="01EBA77A" w14:textId="77777777" w:rsidR="00DC1E5B" w:rsidRPr="003C5180" w:rsidRDefault="001B0691" w:rsidP="00DC1E5B">
            <w:pPr>
              <w:rPr>
                <w:lang w:eastAsia="en-GB"/>
              </w:rPr>
            </w:pPr>
            <w:r w:rsidRPr="00D96728">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488491D1"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20DAD5FF" w14:textId="77777777" w:rsidR="00DC1E5B" w:rsidRPr="003C5180" w:rsidRDefault="00DC1E5B" w:rsidP="00DC1E5B">
            <w:pPr>
              <w:rPr>
                <w:lang w:eastAsia="en-GB"/>
              </w:rPr>
            </w:pPr>
          </w:p>
        </w:tc>
        <w:tc>
          <w:tcPr>
            <w:tcW w:w="993" w:type="dxa"/>
            <w:tcBorders>
              <w:top w:val="single" w:sz="4" w:space="0" w:color="auto"/>
              <w:bottom w:val="single" w:sz="4" w:space="0" w:color="auto"/>
            </w:tcBorders>
            <w:shd w:val="clear" w:color="auto" w:fill="auto"/>
          </w:tcPr>
          <w:p w14:paraId="065064AB"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55329D1B" w14:textId="77777777" w:rsidR="00DC1E5B" w:rsidRPr="003C5180" w:rsidRDefault="00DC1E5B" w:rsidP="00DC1E5B">
            <w:pPr>
              <w:rPr>
                <w:lang w:eastAsia="en-GB"/>
              </w:rPr>
            </w:pPr>
          </w:p>
        </w:tc>
        <w:tc>
          <w:tcPr>
            <w:tcW w:w="992" w:type="dxa"/>
            <w:tcBorders>
              <w:top w:val="single" w:sz="4" w:space="0" w:color="auto"/>
              <w:bottom w:val="single" w:sz="4" w:space="0" w:color="auto"/>
            </w:tcBorders>
            <w:shd w:val="clear" w:color="auto" w:fill="auto"/>
          </w:tcPr>
          <w:p w14:paraId="11C1FC5D" w14:textId="77777777" w:rsidR="00DC1E5B" w:rsidRPr="003C5180" w:rsidRDefault="00DC1E5B" w:rsidP="00DC1E5B">
            <w:pPr>
              <w:rPr>
                <w:lang w:eastAsia="en-GB"/>
              </w:rPr>
            </w:pPr>
          </w:p>
        </w:tc>
      </w:tr>
      <w:tr w:rsidR="00F00309" w:rsidRPr="003C5180" w14:paraId="1CFA5F0D" w14:textId="77777777" w:rsidTr="00F4235D">
        <w:trPr>
          <w:trHeight w:val="299"/>
        </w:trPr>
        <w:tc>
          <w:tcPr>
            <w:tcW w:w="3334" w:type="dxa"/>
            <w:tcBorders>
              <w:top w:val="single" w:sz="4" w:space="0" w:color="auto"/>
              <w:bottom w:val="single" w:sz="4" w:space="0" w:color="auto"/>
            </w:tcBorders>
            <w:shd w:val="clear" w:color="auto" w:fill="auto"/>
          </w:tcPr>
          <w:p w14:paraId="14792D34" w14:textId="77777777" w:rsidR="00F00309" w:rsidRPr="003C5180" w:rsidRDefault="00F00309" w:rsidP="00DC1E5B">
            <w:pPr>
              <w:rPr>
                <w:lang w:eastAsia="en-GB"/>
              </w:rPr>
            </w:pPr>
            <w:r>
              <w:rPr>
                <w:lang w:eastAsia="en-GB"/>
              </w:rPr>
              <w:t>Randomisation</w:t>
            </w:r>
          </w:p>
        </w:tc>
        <w:tc>
          <w:tcPr>
            <w:tcW w:w="1134" w:type="dxa"/>
            <w:tcBorders>
              <w:top w:val="single" w:sz="4" w:space="0" w:color="auto"/>
              <w:bottom w:val="single" w:sz="4" w:space="0" w:color="auto"/>
            </w:tcBorders>
            <w:shd w:val="clear" w:color="auto" w:fill="auto"/>
          </w:tcPr>
          <w:p w14:paraId="07C7E9F4" w14:textId="77777777" w:rsidR="00F00309" w:rsidRPr="001905CA" w:rsidRDefault="00F00309" w:rsidP="00DC1E5B">
            <w:pPr>
              <w:rPr>
                <w:rFonts w:ascii="Segoe UI Symbol" w:hAnsi="Segoe UI Symbol" w:cs="Segoe UI Symbol"/>
                <w:lang w:eastAsia="en-GB"/>
              </w:rPr>
            </w:pPr>
          </w:p>
        </w:tc>
        <w:tc>
          <w:tcPr>
            <w:tcW w:w="992" w:type="dxa"/>
            <w:tcBorders>
              <w:top w:val="single" w:sz="4" w:space="0" w:color="auto"/>
              <w:bottom w:val="single" w:sz="4" w:space="0" w:color="auto"/>
            </w:tcBorders>
            <w:shd w:val="clear" w:color="auto" w:fill="auto"/>
          </w:tcPr>
          <w:p w14:paraId="1B66E2C0" w14:textId="77777777" w:rsidR="00F00309" w:rsidRPr="00D96728" w:rsidRDefault="00D96728" w:rsidP="00DC1E5B">
            <w:pPr>
              <w:rPr>
                <w:rFonts w:ascii="Segoe UI Symbol" w:hAnsi="Segoe UI Symbol" w:cs="Segoe UI Symbol"/>
                <w:lang w:eastAsia="en-GB"/>
              </w:rPr>
            </w:pPr>
            <w:r w:rsidRPr="00D96728">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5515A090" w14:textId="77777777" w:rsidR="00F00309" w:rsidRPr="003C5180" w:rsidRDefault="00F00309" w:rsidP="00DC1E5B">
            <w:pPr>
              <w:rPr>
                <w:lang w:eastAsia="en-GB"/>
              </w:rPr>
            </w:pPr>
          </w:p>
        </w:tc>
        <w:tc>
          <w:tcPr>
            <w:tcW w:w="992" w:type="dxa"/>
            <w:tcBorders>
              <w:top w:val="single" w:sz="4" w:space="0" w:color="auto"/>
              <w:bottom w:val="single" w:sz="4" w:space="0" w:color="auto"/>
            </w:tcBorders>
            <w:shd w:val="clear" w:color="auto" w:fill="auto"/>
          </w:tcPr>
          <w:p w14:paraId="39BD92B9" w14:textId="77777777" w:rsidR="00F00309" w:rsidRPr="003C5180" w:rsidRDefault="00F00309" w:rsidP="00DC1E5B">
            <w:pPr>
              <w:rPr>
                <w:lang w:eastAsia="en-GB"/>
              </w:rPr>
            </w:pPr>
          </w:p>
        </w:tc>
        <w:tc>
          <w:tcPr>
            <w:tcW w:w="993" w:type="dxa"/>
            <w:tcBorders>
              <w:top w:val="single" w:sz="4" w:space="0" w:color="auto"/>
              <w:bottom w:val="single" w:sz="4" w:space="0" w:color="auto"/>
            </w:tcBorders>
            <w:shd w:val="clear" w:color="auto" w:fill="auto"/>
          </w:tcPr>
          <w:p w14:paraId="38B297F4" w14:textId="77777777" w:rsidR="00F00309" w:rsidRPr="003C5180" w:rsidRDefault="00F00309" w:rsidP="00DC1E5B">
            <w:pPr>
              <w:rPr>
                <w:lang w:eastAsia="en-GB"/>
              </w:rPr>
            </w:pPr>
          </w:p>
        </w:tc>
        <w:tc>
          <w:tcPr>
            <w:tcW w:w="992" w:type="dxa"/>
            <w:tcBorders>
              <w:top w:val="single" w:sz="4" w:space="0" w:color="auto"/>
              <w:bottom w:val="single" w:sz="4" w:space="0" w:color="auto"/>
            </w:tcBorders>
            <w:shd w:val="clear" w:color="auto" w:fill="auto"/>
          </w:tcPr>
          <w:p w14:paraId="367C2FD4" w14:textId="77777777" w:rsidR="00F00309" w:rsidRPr="003C5180" w:rsidRDefault="00F00309" w:rsidP="00DC1E5B">
            <w:pPr>
              <w:rPr>
                <w:lang w:eastAsia="en-GB"/>
              </w:rPr>
            </w:pPr>
          </w:p>
        </w:tc>
        <w:tc>
          <w:tcPr>
            <w:tcW w:w="992" w:type="dxa"/>
            <w:tcBorders>
              <w:top w:val="single" w:sz="4" w:space="0" w:color="auto"/>
              <w:bottom w:val="single" w:sz="4" w:space="0" w:color="auto"/>
            </w:tcBorders>
            <w:shd w:val="clear" w:color="auto" w:fill="auto"/>
          </w:tcPr>
          <w:p w14:paraId="554396BB" w14:textId="77777777" w:rsidR="00F00309" w:rsidRPr="003C5180" w:rsidRDefault="00F00309" w:rsidP="00DC1E5B">
            <w:pPr>
              <w:rPr>
                <w:lang w:eastAsia="en-GB"/>
              </w:rPr>
            </w:pPr>
          </w:p>
        </w:tc>
      </w:tr>
      <w:tr w:rsidR="00D178F9" w:rsidRPr="003C5180" w14:paraId="4FA64270" w14:textId="77777777" w:rsidTr="00F4235D">
        <w:trPr>
          <w:trHeight w:val="420"/>
        </w:trPr>
        <w:tc>
          <w:tcPr>
            <w:tcW w:w="3334" w:type="dxa"/>
            <w:tcBorders>
              <w:top w:val="single" w:sz="4" w:space="0" w:color="auto"/>
              <w:bottom w:val="single" w:sz="4" w:space="0" w:color="auto"/>
            </w:tcBorders>
            <w:shd w:val="clear" w:color="auto" w:fill="auto"/>
          </w:tcPr>
          <w:p w14:paraId="4C1D2467" w14:textId="77777777" w:rsidR="00D178F9" w:rsidRPr="003C5180" w:rsidRDefault="001B0691" w:rsidP="00DC1E5B">
            <w:pPr>
              <w:rPr>
                <w:lang w:eastAsia="en-GB"/>
              </w:rPr>
            </w:pPr>
            <w:r w:rsidRPr="003C5180">
              <w:rPr>
                <w:lang w:eastAsia="en-GB"/>
              </w:rPr>
              <w:t>Medical history</w:t>
            </w:r>
          </w:p>
        </w:tc>
        <w:tc>
          <w:tcPr>
            <w:tcW w:w="1134" w:type="dxa"/>
            <w:tcBorders>
              <w:top w:val="single" w:sz="4" w:space="0" w:color="auto"/>
              <w:bottom w:val="single" w:sz="4" w:space="0" w:color="auto"/>
            </w:tcBorders>
            <w:shd w:val="clear" w:color="auto" w:fill="auto"/>
          </w:tcPr>
          <w:p w14:paraId="150A637B"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4A9713EA" w14:textId="77777777" w:rsidR="00D178F9" w:rsidRPr="003C5180" w:rsidRDefault="001B0691"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0E3D49F"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5F609EB8" w14:textId="77777777" w:rsidR="00D178F9" w:rsidRPr="003C5180" w:rsidRDefault="00D178F9" w:rsidP="00DC1E5B">
            <w:pPr>
              <w:rPr>
                <w:lang w:eastAsia="en-GB"/>
              </w:rPr>
            </w:pPr>
          </w:p>
        </w:tc>
        <w:tc>
          <w:tcPr>
            <w:tcW w:w="993" w:type="dxa"/>
            <w:tcBorders>
              <w:top w:val="single" w:sz="4" w:space="0" w:color="auto"/>
              <w:bottom w:val="single" w:sz="4" w:space="0" w:color="auto"/>
            </w:tcBorders>
            <w:shd w:val="clear" w:color="auto" w:fill="auto"/>
          </w:tcPr>
          <w:p w14:paraId="18B5D336"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12747458"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18A01083" w14:textId="77777777" w:rsidR="00D178F9" w:rsidRPr="003C5180" w:rsidRDefault="00D178F9" w:rsidP="00DC1E5B">
            <w:pPr>
              <w:rPr>
                <w:lang w:eastAsia="en-GB"/>
              </w:rPr>
            </w:pPr>
          </w:p>
        </w:tc>
      </w:tr>
      <w:tr w:rsidR="00D178F9" w:rsidRPr="003C5180" w14:paraId="3C930A3B" w14:textId="77777777" w:rsidTr="00F4235D">
        <w:trPr>
          <w:trHeight w:val="390"/>
        </w:trPr>
        <w:tc>
          <w:tcPr>
            <w:tcW w:w="3334" w:type="dxa"/>
            <w:tcBorders>
              <w:top w:val="single" w:sz="4" w:space="0" w:color="auto"/>
              <w:bottom w:val="single" w:sz="4" w:space="0" w:color="auto"/>
            </w:tcBorders>
            <w:shd w:val="clear" w:color="auto" w:fill="auto"/>
          </w:tcPr>
          <w:p w14:paraId="384F9C27" w14:textId="77777777" w:rsidR="00D178F9" w:rsidRPr="003C5180" w:rsidRDefault="0047754E" w:rsidP="00DC1E5B">
            <w:pPr>
              <w:rPr>
                <w:lang w:eastAsia="en-GB"/>
              </w:rPr>
            </w:pPr>
            <w:r w:rsidRPr="003C5180">
              <w:rPr>
                <w:lang w:eastAsia="en-GB"/>
              </w:rPr>
              <w:t>Record details of physical examination</w:t>
            </w:r>
          </w:p>
        </w:tc>
        <w:tc>
          <w:tcPr>
            <w:tcW w:w="1134" w:type="dxa"/>
            <w:tcBorders>
              <w:top w:val="single" w:sz="4" w:space="0" w:color="auto"/>
              <w:bottom w:val="single" w:sz="4" w:space="0" w:color="auto"/>
            </w:tcBorders>
            <w:shd w:val="clear" w:color="auto" w:fill="auto"/>
          </w:tcPr>
          <w:p w14:paraId="6126595C"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173F0C6B" w14:textId="77777777" w:rsidR="00D178F9" w:rsidRPr="003C5180" w:rsidRDefault="001B0691"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68CC3139"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7C893510" w14:textId="77777777" w:rsidR="00D178F9" w:rsidRPr="003C5180" w:rsidRDefault="00D178F9" w:rsidP="00DC1E5B">
            <w:pPr>
              <w:rPr>
                <w:lang w:eastAsia="en-GB"/>
              </w:rPr>
            </w:pPr>
          </w:p>
        </w:tc>
        <w:tc>
          <w:tcPr>
            <w:tcW w:w="993" w:type="dxa"/>
            <w:tcBorders>
              <w:top w:val="single" w:sz="4" w:space="0" w:color="auto"/>
              <w:bottom w:val="single" w:sz="4" w:space="0" w:color="auto"/>
            </w:tcBorders>
            <w:shd w:val="clear" w:color="auto" w:fill="auto"/>
          </w:tcPr>
          <w:p w14:paraId="36C5B374"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598240BB"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74FA2CBB" w14:textId="77777777" w:rsidR="00D178F9" w:rsidRPr="003C5180" w:rsidRDefault="00D178F9" w:rsidP="00DC1E5B">
            <w:pPr>
              <w:rPr>
                <w:lang w:eastAsia="en-GB"/>
              </w:rPr>
            </w:pPr>
          </w:p>
        </w:tc>
      </w:tr>
      <w:tr w:rsidR="00D178F9" w:rsidRPr="003C5180" w14:paraId="372CD138" w14:textId="77777777" w:rsidTr="00F4235D">
        <w:trPr>
          <w:trHeight w:val="495"/>
        </w:trPr>
        <w:tc>
          <w:tcPr>
            <w:tcW w:w="3334" w:type="dxa"/>
            <w:tcBorders>
              <w:top w:val="single" w:sz="4" w:space="0" w:color="auto"/>
              <w:bottom w:val="single" w:sz="4" w:space="0" w:color="auto"/>
            </w:tcBorders>
            <w:shd w:val="clear" w:color="auto" w:fill="auto"/>
          </w:tcPr>
          <w:p w14:paraId="6FFC3C7E" w14:textId="77777777" w:rsidR="00D178F9" w:rsidRPr="003C5180" w:rsidRDefault="001B0691" w:rsidP="00DC1E5B">
            <w:pPr>
              <w:rPr>
                <w:lang w:eastAsia="en-GB"/>
              </w:rPr>
            </w:pPr>
            <w:r w:rsidRPr="003C5180">
              <w:rPr>
                <w:lang w:eastAsia="en-GB"/>
              </w:rPr>
              <w:t>Check for concomitant medication</w:t>
            </w:r>
            <w:r w:rsidR="00F00309">
              <w:rPr>
                <w:lang w:eastAsia="en-GB"/>
              </w:rPr>
              <w:t>s</w:t>
            </w:r>
          </w:p>
        </w:tc>
        <w:tc>
          <w:tcPr>
            <w:tcW w:w="1134" w:type="dxa"/>
            <w:tcBorders>
              <w:top w:val="single" w:sz="4" w:space="0" w:color="auto"/>
              <w:bottom w:val="single" w:sz="4" w:space="0" w:color="auto"/>
            </w:tcBorders>
            <w:shd w:val="clear" w:color="auto" w:fill="auto"/>
          </w:tcPr>
          <w:p w14:paraId="3AA99D6B"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1808DE3A" w14:textId="77777777" w:rsidR="00D178F9" w:rsidRPr="003C5180" w:rsidRDefault="001B0691"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7420E12"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C228874"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3" w:type="dxa"/>
            <w:tcBorders>
              <w:top w:val="single" w:sz="4" w:space="0" w:color="auto"/>
              <w:bottom w:val="single" w:sz="4" w:space="0" w:color="auto"/>
            </w:tcBorders>
            <w:shd w:val="clear" w:color="auto" w:fill="auto"/>
          </w:tcPr>
          <w:p w14:paraId="43D9A1A8"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0F1B89DE"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E84C957" w14:textId="77777777" w:rsidR="00D178F9" w:rsidRPr="003C5180" w:rsidRDefault="00CD4710" w:rsidP="00DC1E5B">
            <w:pPr>
              <w:rPr>
                <w:lang w:eastAsia="en-GB"/>
              </w:rPr>
            </w:pPr>
            <w:r w:rsidRPr="001905CA">
              <w:rPr>
                <w:rFonts w:ascii="Segoe UI Symbol" w:hAnsi="Segoe UI Symbol" w:cs="Segoe UI Symbol"/>
                <w:lang w:eastAsia="en-GB"/>
              </w:rPr>
              <w:t>✓</w:t>
            </w:r>
          </w:p>
        </w:tc>
      </w:tr>
      <w:tr w:rsidR="00D178F9" w:rsidRPr="003C5180" w14:paraId="28BC2604" w14:textId="77777777" w:rsidTr="00F4235D">
        <w:trPr>
          <w:trHeight w:val="495"/>
        </w:trPr>
        <w:tc>
          <w:tcPr>
            <w:tcW w:w="3334" w:type="dxa"/>
            <w:tcBorders>
              <w:top w:val="single" w:sz="4" w:space="0" w:color="auto"/>
              <w:bottom w:val="single" w:sz="4" w:space="0" w:color="auto"/>
            </w:tcBorders>
            <w:shd w:val="clear" w:color="auto" w:fill="auto"/>
          </w:tcPr>
          <w:p w14:paraId="4D63172D" w14:textId="77777777" w:rsidR="00D178F9" w:rsidRPr="003C5180" w:rsidRDefault="001B0691" w:rsidP="00DC1E5B">
            <w:pPr>
              <w:rPr>
                <w:lang w:eastAsia="en-GB"/>
              </w:rPr>
            </w:pPr>
            <w:r w:rsidRPr="003C5180">
              <w:rPr>
                <w:lang w:eastAsia="en-GB"/>
              </w:rPr>
              <w:t>Vaccine administration</w:t>
            </w:r>
          </w:p>
        </w:tc>
        <w:tc>
          <w:tcPr>
            <w:tcW w:w="1134" w:type="dxa"/>
            <w:tcBorders>
              <w:top w:val="single" w:sz="4" w:space="0" w:color="auto"/>
              <w:bottom w:val="single" w:sz="4" w:space="0" w:color="auto"/>
            </w:tcBorders>
            <w:shd w:val="clear" w:color="auto" w:fill="auto"/>
          </w:tcPr>
          <w:p w14:paraId="6D7CFE46"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6F33B6F7" w14:textId="77777777" w:rsidR="00D178F9" w:rsidRPr="003C5180" w:rsidRDefault="001B0691"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DFF2588"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304F995D"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3" w:type="dxa"/>
            <w:tcBorders>
              <w:top w:val="single" w:sz="4" w:space="0" w:color="auto"/>
              <w:bottom w:val="single" w:sz="4" w:space="0" w:color="auto"/>
            </w:tcBorders>
            <w:shd w:val="clear" w:color="auto" w:fill="auto"/>
          </w:tcPr>
          <w:p w14:paraId="78BB5F25"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473E10E4"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331ADDCF" w14:textId="77777777" w:rsidR="00D178F9" w:rsidRPr="003C5180" w:rsidRDefault="00D178F9" w:rsidP="00DC1E5B">
            <w:pPr>
              <w:rPr>
                <w:lang w:eastAsia="en-GB"/>
              </w:rPr>
            </w:pPr>
          </w:p>
        </w:tc>
      </w:tr>
      <w:tr w:rsidR="00D178F9" w:rsidRPr="003C5180" w14:paraId="7B8340B8" w14:textId="77777777" w:rsidTr="00F4235D">
        <w:trPr>
          <w:trHeight w:val="480"/>
        </w:trPr>
        <w:tc>
          <w:tcPr>
            <w:tcW w:w="3334" w:type="dxa"/>
            <w:tcBorders>
              <w:top w:val="single" w:sz="4" w:space="0" w:color="auto"/>
              <w:bottom w:val="single" w:sz="4" w:space="0" w:color="auto"/>
            </w:tcBorders>
            <w:shd w:val="clear" w:color="auto" w:fill="auto"/>
          </w:tcPr>
          <w:p w14:paraId="550B3CCC" w14:textId="77777777" w:rsidR="00D178F9" w:rsidRPr="003C5180" w:rsidRDefault="001B0691" w:rsidP="00DC1E5B">
            <w:pPr>
              <w:rPr>
                <w:lang w:eastAsia="en-GB"/>
              </w:rPr>
            </w:pPr>
            <w:r w:rsidRPr="003C5180">
              <w:rPr>
                <w:lang w:eastAsia="en-GB"/>
              </w:rPr>
              <w:t>Post vaccination monitoring</w:t>
            </w:r>
          </w:p>
        </w:tc>
        <w:tc>
          <w:tcPr>
            <w:tcW w:w="1134" w:type="dxa"/>
            <w:tcBorders>
              <w:top w:val="single" w:sz="4" w:space="0" w:color="auto"/>
              <w:bottom w:val="single" w:sz="4" w:space="0" w:color="auto"/>
            </w:tcBorders>
            <w:shd w:val="clear" w:color="auto" w:fill="auto"/>
          </w:tcPr>
          <w:p w14:paraId="2B2833AE"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40535E52" w14:textId="77777777" w:rsidR="00D178F9" w:rsidRPr="003C5180" w:rsidRDefault="001B0691"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59564DE6"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5EF74FC9"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3" w:type="dxa"/>
            <w:tcBorders>
              <w:top w:val="single" w:sz="4" w:space="0" w:color="auto"/>
              <w:bottom w:val="single" w:sz="4" w:space="0" w:color="auto"/>
            </w:tcBorders>
            <w:shd w:val="clear" w:color="auto" w:fill="auto"/>
          </w:tcPr>
          <w:p w14:paraId="50BCCD0D"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76134F4D"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5DD6262C" w14:textId="77777777" w:rsidR="00D178F9" w:rsidRPr="003C5180" w:rsidRDefault="00D178F9" w:rsidP="00DC1E5B">
            <w:pPr>
              <w:rPr>
                <w:lang w:eastAsia="en-GB"/>
              </w:rPr>
            </w:pPr>
          </w:p>
        </w:tc>
      </w:tr>
      <w:tr w:rsidR="00D178F9" w:rsidRPr="003C5180" w14:paraId="4F2E3C26" w14:textId="77777777" w:rsidTr="00F4235D">
        <w:trPr>
          <w:trHeight w:val="525"/>
        </w:trPr>
        <w:tc>
          <w:tcPr>
            <w:tcW w:w="3334" w:type="dxa"/>
            <w:tcBorders>
              <w:top w:val="single" w:sz="4" w:space="0" w:color="auto"/>
              <w:bottom w:val="single" w:sz="4" w:space="0" w:color="auto"/>
            </w:tcBorders>
            <w:shd w:val="clear" w:color="auto" w:fill="auto"/>
          </w:tcPr>
          <w:p w14:paraId="7556D1C5" w14:textId="77777777" w:rsidR="00D178F9" w:rsidRPr="003C5180" w:rsidRDefault="00CD4710" w:rsidP="00DC1E5B">
            <w:pPr>
              <w:rPr>
                <w:lang w:eastAsia="en-GB"/>
              </w:rPr>
            </w:pPr>
            <w:r w:rsidRPr="003C5180">
              <w:rPr>
                <w:lang w:eastAsia="en-GB"/>
              </w:rPr>
              <w:t>Ask about AEs/SAEs</w:t>
            </w:r>
          </w:p>
        </w:tc>
        <w:tc>
          <w:tcPr>
            <w:tcW w:w="1134" w:type="dxa"/>
            <w:tcBorders>
              <w:top w:val="single" w:sz="4" w:space="0" w:color="auto"/>
              <w:bottom w:val="single" w:sz="4" w:space="0" w:color="auto"/>
            </w:tcBorders>
            <w:shd w:val="clear" w:color="auto" w:fill="auto"/>
          </w:tcPr>
          <w:p w14:paraId="1EBA6762"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701CD4F8"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1D231B0B" w14:textId="77777777" w:rsidR="00D178F9" w:rsidRPr="003C5180" w:rsidRDefault="00CD4710" w:rsidP="00DC1E5B">
            <w:pPr>
              <w:rPr>
                <w:lang w:eastAsia="en-GB"/>
              </w:rPr>
            </w:pPr>
            <w:bookmarkStart w:id="45" w:name="OLE_LINK30"/>
            <w:bookmarkStart w:id="46" w:name="OLE_LINK31"/>
            <w:r w:rsidRPr="001905CA">
              <w:rPr>
                <w:rFonts w:ascii="Segoe UI Symbol" w:hAnsi="Segoe UI Symbol" w:cs="Segoe UI Symbol"/>
                <w:lang w:eastAsia="en-GB"/>
              </w:rPr>
              <w:t>✓</w:t>
            </w:r>
            <w:bookmarkEnd w:id="45"/>
            <w:bookmarkEnd w:id="46"/>
          </w:p>
        </w:tc>
        <w:tc>
          <w:tcPr>
            <w:tcW w:w="992" w:type="dxa"/>
            <w:tcBorders>
              <w:top w:val="single" w:sz="4" w:space="0" w:color="auto"/>
              <w:bottom w:val="single" w:sz="4" w:space="0" w:color="auto"/>
            </w:tcBorders>
            <w:shd w:val="clear" w:color="auto" w:fill="auto"/>
          </w:tcPr>
          <w:p w14:paraId="66D12CAA"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3" w:type="dxa"/>
            <w:tcBorders>
              <w:top w:val="single" w:sz="4" w:space="0" w:color="auto"/>
              <w:bottom w:val="single" w:sz="4" w:space="0" w:color="auto"/>
            </w:tcBorders>
            <w:shd w:val="clear" w:color="auto" w:fill="auto"/>
          </w:tcPr>
          <w:p w14:paraId="01AB7464"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99CD2C2" w14:textId="77777777" w:rsidR="00D178F9" w:rsidRPr="003C5180" w:rsidRDefault="00CD4710"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004E1953" w14:textId="77777777" w:rsidR="00D178F9" w:rsidRPr="003C5180" w:rsidRDefault="00CD4710" w:rsidP="00DC1E5B">
            <w:pPr>
              <w:rPr>
                <w:lang w:eastAsia="en-GB"/>
              </w:rPr>
            </w:pPr>
            <w:r w:rsidRPr="001905CA">
              <w:rPr>
                <w:rFonts w:ascii="Segoe UI Symbol" w:hAnsi="Segoe UI Symbol" w:cs="Segoe UI Symbol"/>
                <w:lang w:eastAsia="en-GB"/>
              </w:rPr>
              <w:t>✓</w:t>
            </w:r>
          </w:p>
        </w:tc>
      </w:tr>
      <w:tr w:rsidR="00D178F9" w:rsidRPr="003C5180" w14:paraId="6B16CEDE" w14:textId="77777777" w:rsidTr="00F4235D">
        <w:trPr>
          <w:trHeight w:val="480"/>
        </w:trPr>
        <w:tc>
          <w:tcPr>
            <w:tcW w:w="3334" w:type="dxa"/>
            <w:tcBorders>
              <w:top w:val="single" w:sz="4" w:space="0" w:color="auto"/>
              <w:bottom w:val="single" w:sz="4" w:space="0" w:color="auto"/>
            </w:tcBorders>
            <w:shd w:val="clear" w:color="auto" w:fill="auto"/>
          </w:tcPr>
          <w:p w14:paraId="3BC66415" w14:textId="77777777" w:rsidR="00D178F9" w:rsidRPr="003C5180" w:rsidRDefault="0047754E" w:rsidP="00DC1E5B">
            <w:pPr>
              <w:rPr>
                <w:lang w:eastAsia="en-GB"/>
              </w:rPr>
            </w:pPr>
            <w:r w:rsidRPr="003C5180">
              <w:rPr>
                <w:lang w:eastAsia="en-GB"/>
              </w:rPr>
              <w:t xml:space="preserve">Blood sampling </w:t>
            </w:r>
          </w:p>
        </w:tc>
        <w:tc>
          <w:tcPr>
            <w:tcW w:w="1134" w:type="dxa"/>
            <w:tcBorders>
              <w:top w:val="single" w:sz="4" w:space="0" w:color="auto"/>
              <w:bottom w:val="single" w:sz="4" w:space="0" w:color="auto"/>
            </w:tcBorders>
            <w:shd w:val="clear" w:color="auto" w:fill="auto"/>
          </w:tcPr>
          <w:p w14:paraId="44FA5F88"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542FBF71"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46D0467D"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3F2D0D97" w14:textId="77777777" w:rsidR="00D178F9" w:rsidRPr="003C5180" w:rsidRDefault="00D178F9" w:rsidP="00DC1E5B">
            <w:pPr>
              <w:rPr>
                <w:lang w:eastAsia="en-GB"/>
              </w:rPr>
            </w:pPr>
          </w:p>
        </w:tc>
        <w:tc>
          <w:tcPr>
            <w:tcW w:w="993" w:type="dxa"/>
            <w:tcBorders>
              <w:top w:val="single" w:sz="4" w:space="0" w:color="auto"/>
              <w:bottom w:val="single" w:sz="4" w:space="0" w:color="auto"/>
            </w:tcBorders>
            <w:shd w:val="clear" w:color="auto" w:fill="auto"/>
          </w:tcPr>
          <w:p w14:paraId="3E6F2E13"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4A476F09"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317B87D5" w14:textId="77777777" w:rsidR="00D178F9" w:rsidRPr="003C5180" w:rsidRDefault="0047754E" w:rsidP="00DC1E5B">
            <w:pPr>
              <w:rPr>
                <w:lang w:eastAsia="en-GB"/>
              </w:rPr>
            </w:pPr>
            <w:r w:rsidRPr="001905CA">
              <w:rPr>
                <w:rFonts w:ascii="Segoe UI Symbol" w:hAnsi="Segoe UI Symbol" w:cs="Segoe UI Symbol"/>
                <w:lang w:eastAsia="en-GB"/>
              </w:rPr>
              <w:t>✓</w:t>
            </w:r>
          </w:p>
        </w:tc>
      </w:tr>
      <w:tr w:rsidR="00D178F9" w:rsidRPr="003C5180" w14:paraId="23A36547" w14:textId="77777777" w:rsidTr="00F4235D">
        <w:trPr>
          <w:trHeight w:val="435"/>
        </w:trPr>
        <w:tc>
          <w:tcPr>
            <w:tcW w:w="3334" w:type="dxa"/>
            <w:tcBorders>
              <w:top w:val="single" w:sz="4" w:space="0" w:color="auto"/>
              <w:bottom w:val="single" w:sz="4" w:space="0" w:color="auto"/>
            </w:tcBorders>
            <w:shd w:val="clear" w:color="auto" w:fill="auto"/>
          </w:tcPr>
          <w:p w14:paraId="650B0857" w14:textId="77777777" w:rsidR="00D178F9" w:rsidRPr="003C5180" w:rsidRDefault="0047754E" w:rsidP="00DC1E5B">
            <w:pPr>
              <w:rPr>
                <w:lang w:eastAsia="en-GB"/>
              </w:rPr>
            </w:pPr>
            <w:r w:rsidRPr="003C5180">
              <w:rPr>
                <w:lang w:eastAsia="en-GB"/>
              </w:rPr>
              <w:t>Distribution of diary card</w:t>
            </w:r>
          </w:p>
        </w:tc>
        <w:tc>
          <w:tcPr>
            <w:tcW w:w="1134" w:type="dxa"/>
            <w:tcBorders>
              <w:top w:val="single" w:sz="4" w:space="0" w:color="auto"/>
              <w:bottom w:val="single" w:sz="4" w:space="0" w:color="auto"/>
            </w:tcBorders>
            <w:shd w:val="clear" w:color="auto" w:fill="auto"/>
          </w:tcPr>
          <w:p w14:paraId="734BEECF"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4315690B"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76BAFED"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6948E446"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3" w:type="dxa"/>
            <w:tcBorders>
              <w:top w:val="single" w:sz="4" w:space="0" w:color="auto"/>
              <w:bottom w:val="single" w:sz="4" w:space="0" w:color="auto"/>
            </w:tcBorders>
            <w:shd w:val="clear" w:color="auto" w:fill="auto"/>
          </w:tcPr>
          <w:p w14:paraId="2C6A2EB8"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008F01CB"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09447E06" w14:textId="77777777" w:rsidR="00D178F9" w:rsidRPr="003C5180" w:rsidRDefault="00D178F9" w:rsidP="00DC1E5B">
            <w:pPr>
              <w:rPr>
                <w:lang w:eastAsia="en-GB"/>
              </w:rPr>
            </w:pPr>
          </w:p>
        </w:tc>
      </w:tr>
      <w:tr w:rsidR="00D178F9" w:rsidRPr="003C5180" w14:paraId="1AA3C668" w14:textId="77777777" w:rsidTr="00F4235D">
        <w:trPr>
          <w:trHeight w:val="480"/>
        </w:trPr>
        <w:tc>
          <w:tcPr>
            <w:tcW w:w="3334" w:type="dxa"/>
            <w:tcBorders>
              <w:top w:val="single" w:sz="4" w:space="0" w:color="auto"/>
              <w:bottom w:val="single" w:sz="4" w:space="0" w:color="auto"/>
            </w:tcBorders>
            <w:shd w:val="clear" w:color="auto" w:fill="auto"/>
          </w:tcPr>
          <w:p w14:paraId="4E712381" w14:textId="77777777" w:rsidR="00D178F9" w:rsidRPr="003C5180" w:rsidRDefault="0047754E" w:rsidP="00DC1E5B">
            <w:pPr>
              <w:rPr>
                <w:lang w:eastAsia="en-GB"/>
              </w:rPr>
            </w:pPr>
            <w:r w:rsidRPr="003C5180">
              <w:rPr>
                <w:lang w:eastAsia="en-GB"/>
              </w:rPr>
              <w:t>Checking diary card with parents</w:t>
            </w:r>
          </w:p>
        </w:tc>
        <w:tc>
          <w:tcPr>
            <w:tcW w:w="1134" w:type="dxa"/>
            <w:tcBorders>
              <w:top w:val="single" w:sz="4" w:space="0" w:color="auto"/>
              <w:bottom w:val="single" w:sz="4" w:space="0" w:color="auto"/>
            </w:tcBorders>
            <w:shd w:val="clear" w:color="auto" w:fill="auto"/>
          </w:tcPr>
          <w:p w14:paraId="656BF1BA"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79255744"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2891BEB8"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7A4E6BC9"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3" w:type="dxa"/>
            <w:tcBorders>
              <w:top w:val="single" w:sz="4" w:space="0" w:color="auto"/>
              <w:bottom w:val="single" w:sz="4" w:space="0" w:color="auto"/>
            </w:tcBorders>
            <w:shd w:val="clear" w:color="auto" w:fill="auto"/>
          </w:tcPr>
          <w:p w14:paraId="2D8A0125" w14:textId="77777777" w:rsidR="00D178F9" w:rsidRPr="003C5180" w:rsidRDefault="0047754E" w:rsidP="00DC1E5B">
            <w:pPr>
              <w:rPr>
                <w:lang w:eastAsia="en-GB"/>
              </w:rPr>
            </w:pPr>
            <w:r w:rsidRPr="001905CA">
              <w:rPr>
                <w:rFonts w:ascii="Segoe UI Symbol" w:hAnsi="Segoe UI Symbol" w:cs="Segoe UI Symbol"/>
                <w:lang w:eastAsia="en-GB"/>
              </w:rPr>
              <w:t>✓</w:t>
            </w:r>
          </w:p>
        </w:tc>
        <w:tc>
          <w:tcPr>
            <w:tcW w:w="992" w:type="dxa"/>
            <w:tcBorders>
              <w:top w:val="single" w:sz="4" w:space="0" w:color="auto"/>
              <w:bottom w:val="single" w:sz="4" w:space="0" w:color="auto"/>
            </w:tcBorders>
            <w:shd w:val="clear" w:color="auto" w:fill="auto"/>
          </w:tcPr>
          <w:p w14:paraId="225ABD7D" w14:textId="77777777" w:rsidR="00D178F9" w:rsidRPr="003C5180" w:rsidRDefault="00D178F9" w:rsidP="00DC1E5B">
            <w:pPr>
              <w:rPr>
                <w:lang w:eastAsia="en-GB"/>
              </w:rPr>
            </w:pPr>
          </w:p>
        </w:tc>
        <w:tc>
          <w:tcPr>
            <w:tcW w:w="992" w:type="dxa"/>
            <w:tcBorders>
              <w:top w:val="single" w:sz="4" w:space="0" w:color="auto"/>
              <w:bottom w:val="single" w:sz="4" w:space="0" w:color="auto"/>
            </w:tcBorders>
            <w:shd w:val="clear" w:color="auto" w:fill="auto"/>
          </w:tcPr>
          <w:p w14:paraId="0E241E1C" w14:textId="77777777" w:rsidR="00D178F9" w:rsidRPr="003C5180" w:rsidRDefault="0047754E" w:rsidP="00DC1E5B">
            <w:pPr>
              <w:rPr>
                <w:lang w:eastAsia="en-GB"/>
              </w:rPr>
            </w:pPr>
            <w:r w:rsidRPr="001905CA">
              <w:rPr>
                <w:rFonts w:ascii="Segoe UI Symbol" w:hAnsi="Segoe UI Symbol" w:cs="Segoe UI Symbol"/>
                <w:lang w:eastAsia="en-GB"/>
              </w:rPr>
              <w:t>✓</w:t>
            </w:r>
          </w:p>
        </w:tc>
      </w:tr>
    </w:tbl>
    <w:p w14:paraId="17FF3A08" w14:textId="77777777" w:rsidR="00DC1E5B" w:rsidRPr="003C5180" w:rsidRDefault="00CE194B" w:rsidP="0047754E">
      <w:pPr>
        <w:pStyle w:val="Heading1"/>
        <w:numPr>
          <w:ilvl w:val="0"/>
          <w:numId w:val="3"/>
        </w:numPr>
        <w:rPr>
          <w:rFonts w:ascii="Calibri" w:hAnsi="Calibri"/>
        </w:rPr>
      </w:pPr>
      <w:bookmarkStart w:id="47" w:name="_Toc470102465"/>
      <w:r w:rsidRPr="003C5180">
        <w:rPr>
          <w:rFonts w:ascii="Calibri" w:hAnsi="Calibri"/>
        </w:rPr>
        <w:t>IMP Dosage regimen and rationale</w:t>
      </w:r>
      <w:bookmarkEnd w:id="43"/>
      <w:bookmarkEnd w:id="47"/>
    </w:p>
    <w:p w14:paraId="35620BDD" w14:textId="77777777" w:rsidR="00DC1E5B" w:rsidRPr="003C5180" w:rsidRDefault="0047754E" w:rsidP="0047754E">
      <w:r w:rsidRPr="003C5180">
        <w:rPr>
          <w:b/>
        </w:rPr>
        <w:t>Bexsero</w:t>
      </w:r>
      <w:r w:rsidRPr="003C5180">
        <w:rPr>
          <w:b/>
          <w:vertAlign w:val="superscript"/>
          <w:lang w:val="en-US"/>
        </w:rPr>
        <w:t>®</w:t>
      </w:r>
      <w:r w:rsidRPr="003C5180">
        <w:t xml:space="preserve"> (</w:t>
      </w:r>
      <w:r w:rsidRPr="003C5180">
        <w:rPr>
          <w:lang w:eastAsia="en-GB"/>
        </w:rPr>
        <w:t>manufactured by G</w:t>
      </w:r>
      <w:r w:rsidR="009C5FAB">
        <w:rPr>
          <w:lang w:eastAsia="en-GB"/>
        </w:rPr>
        <w:t xml:space="preserve">laxo </w:t>
      </w:r>
      <w:r w:rsidRPr="003C5180">
        <w:rPr>
          <w:lang w:eastAsia="en-GB"/>
        </w:rPr>
        <w:t>S</w:t>
      </w:r>
      <w:r w:rsidR="009C5FAB">
        <w:rPr>
          <w:lang w:eastAsia="en-GB"/>
        </w:rPr>
        <w:t xml:space="preserve">mith </w:t>
      </w:r>
      <w:r w:rsidRPr="003C5180">
        <w:rPr>
          <w:lang w:eastAsia="en-GB"/>
        </w:rPr>
        <w:t>K</w:t>
      </w:r>
      <w:r w:rsidR="009C5FAB">
        <w:rPr>
          <w:lang w:eastAsia="en-GB"/>
        </w:rPr>
        <w:t>line</w:t>
      </w:r>
      <w:r w:rsidRPr="003C5180">
        <w:t xml:space="preserve">) is a four component vaccine that protects against </w:t>
      </w:r>
      <w:r w:rsidRPr="003C5180">
        <w:rPr>
          <w:i/>
        </w:rPr>
        <w:t xml:space="preserve">Neisseria meningitidis </w:t>
      </w:r>
      <w:r w:rsidRPr="003C5180">
        <w:t>sero</w:t>
      </w:r>
      <w:r w:rsidR="000C1F99">
        <w:t>group</w:t>
      </w:r>
      <w:r w:rsidRPr="003C5180">
        <w:t xml:space="preserve"> B. It is indicated for use from 2 months of age and will be given according to the UK schedule at 2, 4 and 12 months or at 2, 3, 4 and 12 months for those babies randomised to receive a 3+1 regime. </w:t>
      </w:r>
    </w:p>
    <w:p w14:paraId="0D6DF7A7" w14:textId="77777777" w:rsidR="006753C3" w:rsidRPr="003C5180" w:rsidRDefault="006753C3" w:rsidP="00E31FF1">
      <w:pPr>
        <w:pStyle w:val="Heading2"/>
        <w:rPr>
          <w:sz w:val="24"/>
        </w:rPr>
      </w:pPr>
      <w:bookmarkStart w:id="48" w:name="_Toc261532690"/>
      <w:bookmarkStart w:id="49" w:name="_Toc470102466"/>
      <w:r w:rsidRPr="003C5180">
        <w:rPr>
          <w:sz w:val="24"/>
        </w:rPr>
        <w:t>Source of IMP</w:t>
      </w:r>
      <w:r w:rsidR="003D42A8">
        <w:rPr>
          <w:sz w:val="24"/>
        </w:rPr>
        <w:t xml:space="preserve"> and NIMPs</w:t>
      </w:r>
      <w:bookmarkEnd w:id="48"/>
      <w:bookmarkEnd w:id="49"/>
    </w:p>
    <w:p w14:paraId="4EC27764" w14:textId="77777777" w:rsidR="00E41217" w:rsidRDefault="00E41217" w:rsidP="00E41217">
      <w:r w:rsidRPr="003C5180">
        <w:t>All</w:t>
      </w:r>
      <w:r w:rsidR="00821C19">
        <w:t xml:space="preserve"> </w:t>
      </w:r>
      <w:r w:rsidRPr="003C5180">
        <w:t>vaccine</w:t>
      </w:r>
      <w:r w:rsidR="00821C19">
        <w:t>s</w:t>
      </w:r>
      <w:r w:rsidRPr="003C5180">
        <w:t xml:space="preserve"> will be obtained </w:t>
      </w:r>
      <w:r w:rsidR="00A75A6F">
        <w:t xml:space="preserve">by local sites </w:t>
      </w:r>
      <w:r w:rsidR="00821C19">
        <w:t>from</w:t>
      </w:r>
      <w:r w:rsidRPr="003C5180">
        <w:t xml:space="preserve"> national stock using the ImmForm system. Vaccines will be received by hospital </w:t>
      </w:r>
      <w:r w:rsidR="00D2137F">
        <w:t xml:space="preserve">clinical trials pharmacist </w:t>
      </w:r>
      <w:r w:rsidR="00CC0536">
        <w:t>or research teams as decided by</w:t>
      </w:r>
      <w:r w:rsidRPr="003C5180">
        <w:t xml:space="preserve"> individual sites and will be placed into quarantine until documentation of the cold chain had been reviewed </w:t>
      </w:r>
      <w:r w:rsidR="00C528C1">
        <w:t>to confirm</w:t>
      </w:r>
      <w:r w:rsidR="00C528C1" w:rsidRPr="003C5180">
        <w:t xml:space="preserve"> </w:t>
      </w:r>
      <w:r w:rsidR="00C528C1">
        <w:t xml:space="preserve">that </w:t>
      </w:r>
      <w:r w:rsidRPr="003C5180">
        <w:t>the</w:t>
      </w:r>
      <w:r w:rsidR="000C1F99">
        <w:t>y</w:t>
      </w:r>
      <w:r w:rsidRPr="003C5180">
        <w:t xml:space="preserve"> </w:t>
      </w:r>
      <w:r w:rsidR="00C528C1">
        <w:t>may be</w:t>
      </w:r>
      <w:r w:rsidRPr="003C5180">
        <w:t xml:space="preserve"> released for use. </w:t>
      </w:r>
    </w:p>
    <w:p w14:paraId="156B1A3D" w14:textId="77777777" w:rsidR="004A00AA" w:rsidRPr="003C5180" w:rsidRDefault="004A00AA" w:rsidP="00E41217">
      <w:r>
        <w:t>Vaccines used in this study will be labelled in accordance with the Medicines (Marketing Authorisations etc</w:t>
      </w:r>
      <w:r w:rsidR="006D7537">
        <w:t>.</w:t>
      </w:r>
      <w:r>
        <w:t>) Regulations 1994 as amended and supplied by a pharmacy department without any need of special labelling.</w:t>
      </w:r>
    </w:p>
    <w:p w14:paraId="48DA40A5" w14:textId="77777777" w:rsidR="006753C3" w:rsidRPr="003C5180" w:rsidRDefault="008B45E8" w:rsidP="008B45E8">
      <w:pPr>
        <w:ind w:left="142"/>
        <w:jc w:val="both"/>
        <w:rPr>
          <w:rFonts w:cs="Tahoma"/>
          <w:i/>
          <w:color w:val="0070C0"/>
          <w:sz w:val="22"/>
          <w:szCs w:val="22"/>
        </w:rPr>
      </w:pPr>
      <w:bookmarkStart w:id="50" w:name="_Toc470102467"/>
      <w:bookmarkStart w:id="51" w:name="_Toc261532691"/>
      <w:r w:rsidRPr="003C5180">
        <w:rPr>
          <w:rStyle w:val="Heading2Char"/>
          <w:sz w:val="24"/>
        </w:rPr>
        <w:t xml:space="preserve">8.2 </w:t>
      </w:r>
      <w:r w:rsidR="006753C3" w:rsidRPr="003C5180">
        <w:rPr>
          <w:rStyle w:val="Heading2Char"/>
          <w:sz w:val="24"/>
        </w:rPr>
        <w:t xml:space="preserve">Accountability procedures </w:t>
      </w:r>
      <w:r w:rsidR="006753C3" w:rsidRPr="00122145">
        <w:rPr>
          <w:rStyle w:val="Heading2Char"/>
          <w:sz w:val="24"/>
        </w:rPr>
        <w:t>for the IMP</w:t>
      </w:r>
      <w:bookmarkEnd w:id="50"/>
      <w:r w:rsidR="00122145" w:rsidRPr="0032154D">
        <w:rPr>
          <w:b/>
          <w:sz w:val="24"/>
        </w:rPr>
        <w:t xml:space="preserve"> and NIMPs</w:t>
      </w:r>
      <w:r w:rsidR="006753C3" w:rsidRPr="003C5180">
        <w:rPr>
          <w:rFonts w:cs="Tahoma"/>
          <w:b/>
          <w:i/>
          <w:color w:val="FF0000"/>
          <w:sz w:val="22"/>
          <w:szCs w:val="22"/>
        </w:rPr>
        <w:t xml:space="preserve"> </w:t>
      </w:r>
    </w:p>
    <w:bookmarkEnd w:id="51"/>
    <w:p w14:paraId="77EED367" w14:textId="7D832E98" w:rsidR="006753C3" w:rsidRPr="003C5180" w:rsidRDefault="006753C3" w:rsidP="006753C3">
      <w:pPr>
        <w:jc w:val="both"/>
      </w:pPr>
      <w:r w:rsidRPr="003C5180">
        <w:t xml:space="preserve">The </w:t>
      </w:r>
      <w:r w:rsidR="004E02E6" w:rsidRPr="003C5180">
        <w:t>research or hospital p</w:t>
      </w:r>
      <w:r w:rsidRPr="003C5180">
        <w:t>harmacy</w:t>
      </w:r>
      <w:r w:rsidR="004E02E6" w:rsidRPr="003C5180">
        <w:t xml:space="preserve"> </w:t>
      </w:r>
      <w:r w:rsidRPr="003C5180">
        <w:t xml:space="preserve">department will be responsible for maintaining </w:t>
      </w:r>
      <w:r w:rsidR="00D97DB4">
        <w:t>and</w:t>
      </w:r>
      <w:r w:rsidRPr="003C5180">
        <w:t xml:space="preserve"> updating the IMP</w:t>
      </w:r>
      <w:r w:rsidR="00CC0536">
        <w:t>/NIMP</w:t>
      </w:r>
      <w:r w:rsidRPr="003C5180">
        <w:t xml:space="preserve"> Accountability Log, filed in the pharmacy </w:t>
      </w:r>
      <w:r w:rsidR="001D4DFD" w:rsidRPr="003C5180">
        <w:t xml:space="preserve">site </w:t>
      </w:r>
      <w:r w:rsidRPr="003C5180">
        <w:t>file. IMP</w:t>
      </w:r>
      <w:r w:rsidR="00CC0536">
        <w:t xml:space="preserve"> and NIMP</w:t>
      </w:r>
      <w:r w:rsidRPr="003C5180">
        <w:t>(s) destruction will be conducted, once agreed by the Sponsor, in accordance to local pharmacy practice</w:t>
      </w:r>
      <w:r w:rsidR="001D4DFD" w:rsidRPr="003C5180">
        <w:t xml:space="preserve"> </w:t>
      </w:r>
      <w:r w:rsidR="00D97DB4">
        <w:t>and</w:t>
      </w:r>
      <w:r w:rsidRPr="003C5180">
        <w:t xml:space="preserve"> will be documented on the Destruction Log </w:t>
      </w:r>
      <w:r w:rsidR="001D4DFD" w:rsidRPr="003C5180">
        <w:t>filed in the</w:t>
      </w:r>
      <w:r w:rsidRPr="003C5180">
        <w:t xml:space="preserve"> pharmacy </w:t>
      </w:r>
      <w:r w:rsidR="001D4DFD" w:rsidRPr="003C5180">
        <w:t xml:space="preserve">site </w:t>
      </w:r>
      <w:r w:rsidRPr="003C5180">
        <w:t>file. All used/unused IMP</w:t>
      </w:r>
      <w:r w:rsidR="00CC0536">
        <w:t>/NIMP</w:t>
      </w:r>
      <w:r w:rsidRPr="003C5180">
        <w:t xml:space="preserve">(s) </w:t>
      </w:r>
      <w:r w:rsidR="001D4DFD" w:rsidRPr="003C5180">
        <w:t>must</w:t>
      </w:r>
      <w:r w:rsidRPr="003C5180">
        <w:t xml:space="preserve"> be returned to the trial pharmacist</w:t>
      </w:r>
      <w:r w:rsidR="0009567E">
        <w:t>.</w:t>
      </w:r>
      <w:r w:rsidRPr="003C5180">
        <w:t xml:space="preserve"> </w:t>
      </w:r>
      <w:r w:rsidR="0009567E">
        <w:t>A</w:t>
      </w:r>
      <w:r w:rsidR="0009567E" w:rsidRPr="003C5180">
        <w:t>lternative arrangements</w:t>
      </w:r>
      <w:r w:rsidR="0009567E">
        <w:t xml:space="preserve"> relating to the accountability procedures for the IMP and </w:t>
      </w:r>
      <w:r w:rsidR="00ED2F59">
        <w:t xml:space="preserve">NIMPs </w:t>
      </w:r>
      <w:r w:rsidR="00ED2F59" w:rsidRPr="003C5180">
        <w:t>are</w:t>
      </w:r>
      <w:r w:rsidR="0009567E">
        <w:t xml:space="preserve"> to be</w:t>
      </w:r>
      <w:r w:rsidR="0009567E" w:rsidRPr="003C5180">
        <w:t xml:space="preserve"> agreed</w:t>
      </w:r>
      <w:r w:rsidR="0009567E">
        <w:t xml:space="preserve"> in writing with the Sponsor in advance of their implementation</w:t>
      </w:r>
      <w:r w:rsidR="0009567E" w:rsidRPr="003C5180">
        <w:t>.</w:t>
      </w:r>
    </w:p>
    <w:p w14:paraId="203111FA" w14:textId="77777777" w:rsidR="006753C3" w:rsidRPr="003C5180" w:rsidRDefault="006753C3" w:rsidP="008B45E8">
      <w:pPr>
        <w:pStyle w:val="Heading2"/>
        <w:numPr>
          <w:ilvl w:val="1"/>
          <w:numId w:val="37"/>
        </w:numPr>
        <w:rPr>
          <w:sz w:val="24"/>
        </w:rPr>
      </w:pPr>
      <w:bookmarkStart w:id="52" w:name="_Toc261532695"/>
      <w:bookmarkStart w:id="53" w:name="_Toc470102468"/>
      <w:r w:rsidRPr="003C5180">
        <w:rPr>
          <w:sz w:val="24"/>
        </w:rPr>
        <w:t>Post-trial IMP arrangements</w:t>
      </w:r>
      <w:bookmarkEnd w:id="52"/>
      <w:bookmarkEnd w:id="53"/>
    </w:p>
    <w:p w14:paraId="158B6B88" w14:textId="77777777" w:rsidR="00E759CE" w:rsidRPr="003C5180" w:rsidRDefault="00B51670" w:rsidP="00E759CE">
      <w:r>
        <w:t>Bexsero®</w:t>
      </w:r>
      <w:r w:rsidR="00E759CE" w:rsidRPr="003C5180">
        <w:t xml:space="preserve"> is already part of the infant vaccine schedule in the UK and so no additional arrangements are required. </w:t>
      </w:r>
    </w:p>
    <w:p w14:paraId="20A8ED5E" w14:textId="77777777" w:rsidR="006753C3" w:rsidRDefault="006753C3" w:rsidP="008B45E8">
      <w:pPr>
        <w:pStyle w:val="Heading2"/>
        <w:numPr>
          <w:ilvl w:val="1"/>
          <w:numId w:val="37"/>
        </w:numPr>
        <w:rPr>
          <w:sz w:val="24"/>
        </w:rPr>
      </w:pPr>
      <w:bookmarkStart w:id="54" w:name="_Toc261532696"/>
      <w:bookmarkStart w:id="55" w:name="_Toc470102469"/>
      <w:r w:rsidRPr="003C5180">
        <w:rPr>
          <w:sz w:val="24"/>
        </w:rPr>
        <w:t>Name and description of each non-IMP</w:t>
      </w:r>
      <w:bookmarkEnd w:id="54"/>
      <w:r w:rsidRPr="003C5180">
        <w:rPr>
          <w:sz w:val="24"/>
        </w:rPr>
        <w:t xml:space="preserve"> (NIMP)</w:t>
      </w:r>
      <w:bookmarkEnd w:id="55"/>
    </w:p>
    <w:p w14:paraId="0BA6E207" w14:textId="77777777" w:rsidR="00B579C5" w:rsidRPr="003C5180" w:rsidRDefault="00B579C5" w:rsidP="003D42A8">
      <w:pPr>
        <w:ind w:left="360"/>
        <w:rPr>
          <w:lang w:eastAsia="en-GB"/>
        </w:rPr>
      </w:pPr>
      <w:r w:rsidRPr="003C5180">
        <w:rPr>
          <w:lang w:eastAsia="en-GB"/>
        </w:rPr>
        <w:t xml:space="preserve">The following vaccines will be used as part of the study. All vaccines will be identified clearly with a participant number when they have been issued. </w:t>
      </w:r>
    </w:p>
    <w:p w14:paraId="1C39E6D5" w14:textId="792C6986" w:rsidR="00B579C5" w:rsidRDefault="007D60A3" w:rsidP="003D42A8">
      <w:pPr>
        <w:ind w:left="360"/>
      </w:pPr>
      <w:r w:rsidRPr="00342442">
        <w:rPr>
          <w:b/>
          <w:i/>
        </w:rPr>
        <w:t>In babies born before 1</w:t>
      </w:r>
      <w:r w:rsidRPr="00342442">
        <w:rPr>
          <w:b/>
          <w:i/>
          <w:vertAlign w:val="superscript"/>
        </w:rPr>
        <w:t>st</w:t>
      </w:r>
      <w:r w:rsidRPr="00342442">
        <w:rPr>
          <w:b/>
          <w:i/>
        </w:rPr>
        <w:t xml:space="preserve"> August</w:t>
      </w:r>
      <w:r>
        <w:rPr>
          <w:b/>
        </w:rPr>
        <w:t xml:space="preserve"> 2017 </w:t>
      </w:r>
      <w:r w:rsidR="00B579C5" w:rsidRPr="003C5180">
        <w:rPr>
          <w:b/>
        </w:rPr>
        <w:t>Infanrix IPV+Hib</w:t>
      </w:r>
      <w:r w:rsidR="00B579C5" w:rsidRPr="003C5180">
        <w:rPr>
          <w:b/>
          <w:vertAlign w:val="superscript"/>
          <w:lang w:val="en-US"/>
        </w:rPr>
        <w:t>®</w:t>
      </w:r>
      <w:r w:rsidR="00B579C5" w:rsidRPr="003C5180">
        <w:rPr>
          <w:vertAlign w:val="superscript"/>
          <w:lang w:val="en-US"/>
        </w:rPr>
        <w:t xml:space="preserve"> </w:t>
      </w:r>
      <w:r w:rsidR="00B579C5" w:rsidRPr="003C5180">
        <w:rPr>
          <w:lang w:eastAsia="en-GB"/>
        </w:rPr>
        <w:t>(manufactured by GSK) contains diphtheria toxoid, tetanus toxoid, three pertussis antigens</w:t>
      </w:r>
      <w:r w:rsidR="00D2137F">
        <w:rPr>
          <w:lang w:eastAsia="en-GB"/>
        </w:rPr>
        <w:t xml:space="preserve"> (</w:t>
      </w:r>
      <w:r w:rsidR="00B579C5" w:rsidRPr="003C5180">
        <w:rPr>
          <w:lang w:eastAsia="en-GB"/>
        </w:rPr>
        <w:t>pertussis toxin, filamentous haemagglutinin and pertactin</w:t>
      </w:r>
      <w:r w:rsidR="00D2137F">
        <w:rPr>
          <w:lang w:eastAsia="en-GB"/>
        </w:rPr>
        <w:t>),</w:t>
      </w:r>
      <w:r w:rsidR="00D2137F" w:rsidRPr="003C5180">
        <w:rPr>
          <w:lang w:eastAsia="en-GB"/>
        </w:rPr>
        <w:t xml:space="preserve"> </w:t>
      </w:r>
      <w:r w:rsidR="00B579C5" w:rsidRPr="003C5180">
        <w:rPr>
          <w:lang w:eastAsia="en-GB"/>
        </w:rPr>
        <w:t xml:space="preserve">three inactivated poliovirus strains and </w:t>
      </w:r>
      <w:r w:rsidR="00B579C5" w:rsidRPr="003C5180">
        <w:rPr>
          <w:i/>
          <w:lang w:eastAsia="en-GB"/>
        </w:rPr>
        <w:t>Haemophilus influenzae</w:t>
      </w:r>
      <w:r w:rsidR="00B579C5" w:rsidRPr="003C5180">
        <w:rPr>
          <w:lang w:eastAsia="en-GB"/>
        </w:rPr>
        <w:t xml:space="preserve"> type </w:t>
      </w:r>
      <w:r w:rsidR="000C1F99">
        <w:rPr>
          <w:lang w:eastAsia="en-GB"/>
        </w:rPr>
        <w:t>b</w:t>
      </w:r>
      <w:r w:rsidR="00B579C5" w:rsidRPr="003C5180">
        <w:rPr>
          <w:lang w:eastAsia="en-GB"/>
        </w:rPr>
        <w:t xml:space="preserve"> polysaccharide. This vaccine is indicated for use in infants from the age of 2 months and will be given according to the UK schedule of vaccination at 2, 3 and 4 months. Infanrix IPV+Hib</w:t>
      </w:r>
      <w:r w:rsidR="00B579C5" w:rsidRPr="003C5180">
        <w:rPr>
          <w:vertAlign w:val="superscript"/>
          <w:lang w:val="en-US"/>
        </w:rPr>
        <w:t>®</w:t>
      </w:r>
      <w:r w:rsidR="00B579C5" w:rsidRPr="003C5180">
        <w:rPr>
          <w:lang w:eastAsia="en-GB"/>
        </w:rPr>
        <w:t xml:space="preserve"> has been available to use in the UK since June 2014 at which time it had been introduced alongside Pediacel</w:t>
      </w:r>
      <w:r w:rsidR="00B579C5" w:rsidRPr="003C5180">
        <w:rPr>
          <w:vertAlign w:val="superscript"/>
          <w:lang w:val="en-US"/>
        </w:rPr>
        <w:t xml:space="preserve">®, </w:t>
      </w:r>
      <w:r w:rsidR="00B579C5" w:rsidRPr="003C5180">
        <w:rPr>
          <w:lang w:eastAsia="en-GB"/>
        </w:rPr>
        <w:t>the vaccine</w:t>
      </w:r>
      <w:r w:rsidR="00B579C5" w:rsidRPr="003C5180">
        <w:rPr>
          <w:vertAlign w:val="superscript"/>
          <w:lang w:val="en-US"/>
        </w:rPr>
        <w:t xml:space="preserve"> </w:t>
      </w:r>
      <w:r w:rsidR="00B579C5" w:rsidRPr="003C5180">
        <w:t>which had originally been chosen to replace the whole cell pertussis vaccine.</w:t>
      </w:r>
      <w:r w:rsidR="00B579C5">
        <w:t xml:space="preserve"> </w:t>
      </w:r>
      <w:r w:rsidR="0074294E">
        <w:t>The routine vaccine programme changed from a 5-in-1 to a 6-in-1 vaccine on 1</w:t>
      </w:r>
      <w:r w:rsidR="0074294E" w:rsidRPr="00342442">
        <w:rPr>
          <w:vertAlign w:val="superscript"/>
        </w:rPr>
        <w:t>st</w:t>
      </w:r>
      <w:r w:rsidR="0074294E">
        <w:t xml:space="preserve"> August 2017 so the 5-in-1 vaccine will be given only to babies born before this date. </w:t>
      </w:r>
    </w:p>
    <w:p w14:paraId="74594D5F" w14:textId="2451DC0E" w:rsidR="00DE6DCF" w:rsidRDefault="007D60A3" w:rsidP="00DE6DCF">
      <w:pPr>
        <w:ind w:left="360"/>
      </w:pPr>
      <w:r>
        <w:rPr>
          <w:b/>
          <w:i/>
        </w:rPr>
        <w:t>In</w:t>
      </w:r>
      <w:r w:rsidRPr="007D60A3">
        <w:rPr>
          <w:b/>
          <w:i/>
        </w:rPr>
        <w:t xml:space="preserve"> </w:t>
      </w:r>
      <w:r>
        <w:rPr>
          <w:b/>
          <w:i/>
        </w:rPr>
        <w:t xml:space="preserve">babies </w:t>
      </w:r>
      <w:r w:rsidRPr="00D95AA1">
        <w:rPr>
          <w:b/>
          <w:i/>
        </w:rPr>
        <w:t>born before 1</w:t>
      </w:r>
      <w:r w:rsidRPr="00D95AA1">
        <w:rPr>
          <w:b/>
          <w:i/>
          <w:vertAlign w:val="superscript"/>
        </w:rPr>
        <w:t>st</w:t>
      </w:r>
      <w:r w:rsidRPr="00D95AA1">
        <w:rPr>
          <w:b/>
          <w:i/>
        </w:rPr>
        <w:t xml:space="preserve"> August</w:t>
      </w:r>
      <w:r>
        <w:rPr>
          <w:b/>
        </w:rPr>
        <w:t xml:space="preserve"> 2017 </w:t>
      </w:r>
      <w:r>
        <w:rPr>
          <w:b/>
          <w:i/>
        </w:rPr>
        <w:t xml:space="preserve"> </w:t>
      </w:r>
      <w:r w:rsidR="00821C19" w:rsidRPr="00821C19">
        <w:rPr>
          <w:b/>
        </w:rPr>
        <w:t>Pediacel</w:t>
      </w:r>
      <w:r w:rsidR="00821C19" w:rsidRPr="00821C19">
        <w:rPr>
          <w:b/>
          <w:vertAlign w:val="superscript"/>
          <w:lang w:val="en-US"/>
        </w:rPr>
        <w:t>®</w:t>
      </w:r>
      <w:r w:rsidR="00821C19">
        <w:rPr>
          <w:b/>
          <w:vertAlign w:val="superscript"/>
          <w:lang w:val="en-US"/>
        </w:rPr>
        <w:t xml:space="preserve"> </w:t>
      </w:r>
      <w:r w:rsidR="00821C19" w:rsidRPr="009C5FAB">
        <w:rPr>
          <w:lang w:val="en-US"/>
        </w:rPr>
        <w:t>(manufactured by Sanofi Pasteur)</w:t>
      </w:r>
      <w:r w:rsidR="00821C19">
        <w:rPr>
          <w:lang w:val="en-US"/>
        </w:rPr>
        <w:t xml:space="preserve"> contains </w:t>
      </w:r>
      <w:r w:rsidR="00821C19" w:rsidRPr="003C5180">
        <w:rPr>
          <w:lang w:eastAsia="en-GB"/>
        </w:rPr>
        <w:t>diphther</w:t>
      </w:r>
      <w:r w:rsidR="00DE6DCF">
        <w:rPr>
          <w:lang w:eastAsia="en-GB"/>
        </w:rPr>
        <w:t>ia toxoid, tetanus toxoid, five</w:t>
      </w:r>
      <w:r w:rsidR="00821C19" w:rsidRPr="003C5180">
        <w:rPr>
          <w:lang w:eastAsia="en-GB"/>
        </w:rPr>
        <w:t xml:space="preserve"> pertussis antigens</w:t>
      </w:r>
      <w:r w:rsidR="00390EA1">
        <w:rPr>
          <w:lang w:eastAsia="en-GB"/>
        </w:rPr>
        <w:t xml:space="preserve"> (</w:t>
      </w:r>
      <w:r w:rsidR="00821C19" w:rsidRPr="003C5180">
        <w:rPr>
          <w:lang w:eastAsia="en-GB"/>
        </w:rPr>
        <w:t>pertussis toxin</w:t>
      </w:r>
      <w:r w:rsidR="00DE6DCF">
        <w:rPr>
          <w:lang w:eastAsia="en-GB"/>
        </w:rPr>
        <w:t>, filamentous haemagglutinin,</w:t>
      </w:r>
      <w:r w:rsidR="00821C19" w:rsidRPr="003C5180">
        <w:rPr>
          <w:lang w:eastAsia="en-GB"/>
        </w:rPr>
        <w:t xml:space="preserve"> pertactin</w:t>
      </w:r>
      <w:r w:rsidR="00DE6DCF">
        <w:rPr>
          <w:lang w:eastAsia="en-GB"/>
        </w:rPr>
        <w:t>, fimbriae 2 and 3</w:t>
      </w:r>
      <w:r w:rsidR="00390EA1">
        <w:rPr>
          <w:lang w:eastAsia="en-GB"/>
        </w:rPr>
        <w:t>)</w:t>
      </w:r>
      <w:r w:rsidR="00DE6DCF">
        <w:rPr>
          <w:lang w:eastAsia="en-GB"/>
        </w:rPr>
        <w:t>,</w:t>
      </w:r>
      <w:r w:rsidR="00821C19" w:rsidRPr="003C5180">
        <w:rPr>
          <w:lang w:eastAsia="en-GB"/>
        </w:rPr>
        <w:t xml:space="preserve"> three inactivated poliovirus strains</w:t>
      </w:r>
      <w:r w:rsidR="00390EA1">
        <w:rPr>
          <w:lang w:eastAsia="en-GB"/>
        </w:rPr>
        <w:t>,</w:t>
      </w:r>
      <w:r w:rsidR="00821C19" w:rsidRPr="003C5180">
        <w:rPr>
          <w:lang w:eastAsia="en-GB"/>
        </w:rPr>
        <w:t xml:space="preserve"> and </w:t>
      </w:r>
      <w:r w:rsidR="00821C19" w:rsidRPr="003C5180">
        <w:rPr>
          <w:i/>
          <w:lang w:eastAsia="en-GB"/>
        </w:rPr>
        <w:t>Haemophilus influenzae</w:t>
      </w:r>
      <w:r w:rsidR="00821C19" w:rsidRPr="003C5180">
        <w:rPr>
          <w:lang w:eastAsia="en-GB"/>
        </w:rPr>
        <w:t xml:space="preserve"> type </w:t>
      </w:r>
      <w:r w:rsidR="000C1F99">
        <w:rPr>
          <w:lang w:eastAsia="en-GB"/>
        </w:rPr>
        <w:t>b</w:t>
      </w:r>
      <w:r w:rsidR="00821C19" w:rsidRPr="003C5180">
        <w:rPr>
          <w:lang w:eastAsia="en-GB"/>
        </w:rPr>
        <w:t xml:space="preserve"> polysaccharide</w:t>
      </w:r>
      <w:r w:rsidR="00DE6DCF">
        <w:rPr>
          <w:lang w:eastAsia="en-GB"/>
        </w:rPr>
        <w:t xml:space="preserve">. This vaccine is indicated from the age of 6 weeks and </w:t>
      </w:r>
      <w:r w:rsidR="00DE6DCF" w:rsidRPr="003C5180">
        <w:rPr>
          <w:lang w:eastAsia="en-GB"/>
        </w:rPr>
        <w:t>will be given according to the UK schedule of vaccination at 2, 3 and 4 months</w:t>
      </w:r>
      <w:r w:rsidR="00DE6DCF">
        <w:rPr>
          <w:lang w:eastAsia="en-GB"/>
        </w:rPr>
        <w:t xml:space="preserve">. Pediacel will be used interchangeably with Infanrix IPV/Hib according to availability in national stock. </w:t>
      </w:r>
      <w:r w:rsidR="0074294E">
        <w:t>The routine vaccine programme changed from a 5-in-1 to a 6-in-1 vaccine on 1</w:t>
      </w:r>
      <w:r w:rsidR="0074294E" w:rsidRPr="00D95AA1">
        <w:rPr>
          <w:vertAlign w:val="superscript"/>
        </w:rPr>
        <w:t>st</w:t>
      </w:r>
      <w:r w:rsidR="0074294E">
        <w:t xml:space="preserve"> August 2017 so the 5-in-1 vaccine will be given only to babies born before this date.</w:t>
      </w:r>
    </w:p>
    <w:p w14:paraId="20FA271B" w14:textId="77777777" w:rsidR="007D60A3" w:rsidRPr="009C5FAB" w:rsidRDefault="007D60A3" w:rsidP="00DE6DCF">
      <w:pPr>
        <w:ind w:left="360"/>
        <w:rPr>
          <w:lang w:eastAsia="en-GB"/>
        </w:rPr>
      </w:pPr>
      <w:r>
        <w:rPr>
          <w:b/>
          <w:i/>
        </w:rPr>
        <w:t>In babies born on or after</w:t>
      </w:r>
      <w:r w:rsidRPr="00D95AA1">
        <w:rPr>
          <w:b/>
          <w:i/>
        </w:rPr>
        <w:t xml:space="preserve"> 1</w:t>
      </w:r>
      <w:r w:rsidRPr="00D95AA1">
        <w:rPr>
          <w:b/>
          <w:i/>
          <w:vertAlign w:val="superscript"/>
        </w:rPr>
        <w:t>st</w:t>
      </w:r>
      <w:r w:rsidRPr="00D95AA1">
        <w:rPr>
          <w:b/>
          <w:i/>
        </w:rPr>
        <w:t xml:space="preserve"> August</w:t>
      </w:r>
      <w:r>
        <w:rPr>
          <w:b/>
        </w:rPr>
        <w:t xml:space="preserve"> 2017  Infanrix-hexa</w:t>
      </w:r>
      <w:r w:rsidRPr="00821C19">
        <w:rPr>
          <w:b/>
          <w:vertAlign w:val="superscript"/>
          <w:lang w:val="en-US"/>
        </w:rPr>
        <w:t>®</w:t>
      </w:r>
      <w:r>
        <w:rPr>
          <w:b/>
          <w:vertAlign w:val="superscript"/>
          <w:lang w:val="en-US"/>
        </w:rPr>
        <w:t xml:space="preserve"> </w:t>
      </w:r>
      <w:r>
        <w:rPr>
          <w:lang w:eastAsia="en-GB"/>
        </w:rPr>
        <w:t xml:space="preserve">(manufactured by GSK) contains </w:t>
      </w:r>
      <w:r w:rsidRPr="003C5180">
        <w:rPr>
          <w:lang w:eastAsia="en-GB"/>
        </w:rPr>
        <w:t>dip</w:t>
      </w:r>
      <w:r>
        <w:rPr>
          <w:lang w:eastAsia="en-GB"/>
        </w:rPr>
        <w:t xml:space="preserve">htheria toxoid, tetanus toxoid, </w:t>
      </w:r>
      <w:r w:rsidRPr="003C5180">
        <w:rPr>
          <w:lang w:eastAsia="en-GB"/>
        </w:rPr>
        <w:t>three pertussis antigens</w:t>
      </w:r>
      <w:r>
        <w:rPr>
          <w:lang w:eastAsia="en-GB"/>
        </w:rPr>
        <w:t xml:space="preserve"> (</w:t>
      </w:r>
      <w:r w:rsidRPr="003C5180">
        <w:rPr>
          <w:lang w:eastAsia="en-GB"/>
        </w:rPr>
        <w:t>pertussis toxin, filamentous haemagglutinin and pertactin</w:t>
      </w:r>
      <w:r>
        <w:rPr>
          <w:lang w:eastAsia="en-GB"/>
        </w:rPr>
        <w:t>),</w:t>
      </w:r>
      <w:r w:rsidRPr="003C5180">
        <w:rPr>
          <w:lang w:eastAsia="en-GB"/>
        </w:rPr>
        <w:t xml:space="preserve"> three inactivated poliovi</w:t>
      </w:r>
      <w:r>
        <w:rPr>
          <w:lang w:eastAsia="en-GB"/>
        </w:rPr>
        <w:t xml:space="preserve">rus strains, </w:t>
      </w:r>
      <w:r w:rsidRPr="003C5180">
        <w:rPr>
          <w:i/>
          <w:lang w:eastAsia="en-GB"/>
        </w:rPr>
        <w:t>Haemophilus influenzae</w:t>
      </w:r>
      <w:r w:rsidRPr="003C5180">
        <w:rPr>
          <w:lang w:eastAsia="en-GB"/>
        </w:rPr>
        <w:t xml:space="preserve"> type </w:t>
      </w:r>
      <w:r>
        <w:rPr>
          <w:lang w:eastAsia="en-GB"/>
        </w:rPr>
        <w:t>b</w:t>
      </w:r>
      <w:r w:rsidRPr="003C5180">
        <w:rPr>
          <w:lang w:eastAsia="en-GB"/>
        </w:rPr>
        <w:t xml:space="preserve"> polysaccharide</w:t>
      </w:r>
      <w:r>
        <w:rPr>
          <w:lang w:eastAsia="en-GB"/>
        </w:rPr>
        <w:t xml:space="preserve"> and </w:t>
      </w:r>
      <w:r>
        <w:rPr>
          <w:szCs w:val="23"/>
        </w:rPr>
        <w:t xml:space="preserve">hepatitis B virus surface antigen recombinant. </w:t>
      </w:r>
      <w:r w:rsidR="0074294E" w:rsidRPr="003C5180">
        <w:rPr>
          <w:lang w:eastAsia="en-GB"/>
        </w:rPr>
        <w:t>This vaccine is indicated for use in infants from the age of 2 months and will be given according to the UK schedule of v</w:t>
      </w:r>
      <w:r w:rsidR="0074294E">
        <w:rPr>
          <w:lang w:eastAsia="en-GB"/>
        </w:rPr>
        <w:t>accination at 2, 3 and 4 months to all babies born on or after 1</w:t>
      </w:r>
      <w:r w:rsidR="0074294E" w:rsidRPr="00342442">
        <w:rPr>
          <w:vertAlign w:val="superscript"/>
          <w:lang w:eastAsia="en-GB"/>
        </w:rPr>
        <w:t>st</w:t>
      </w:r>
      <w:r w:rsidR="0074294E">
        <w:rPr>
          <w:lang w:eastAsia="en-GB"/>
        </w:rPr>
        <w:t xml:space="preserve"> August 2017. </w:t>
      </w:r>
      <w:r w:rsidR="0074294E" w:rsidRPr="003C5180">
        <w:rPr>
          <w:lang w:eastAsia="en-GB"/>
        </w:rPr>
        <w:t xml:space="preserve"> </w:t>
      </w:r>
    </w:p>
    <w:p w14:paraId="37BAF85F" w14:textId="77777777" w:rsidR="00B579C5" w:rsidRPr="003C5180" w:rsidRDefault="00B579C5" w:rsidP="003D42A8">
      <w:pPr>
        <w:ind w:left="360"/>
      </w:pPr>
      <w:r w:rsidRPr="003C5180">
        <w:rPr>
          <w:b/>
        </w:rPr>
        <w:t>Prevenar 13</w:t>
      </w:r>
      <w:r w:rsidRPr="003C5180">
        <w:rPr>
          <w:b/>
          <w:vertAlign w:val="superscript"/>
          <w:lang w:val="en-US"/>
        </w:rPr>
        <w:t xml:space="preserve">® </w:t>
      </w:r>
      <w:r w:rsidRPr="003C5180">
        <w:rPr>
          <w:lang w:eastAsia="en-GB"/>
        </w:rPr>
        <w:t>(manufactured by Pfizer) contains 13 pneumococcal serotypes and has been used in the UK infant schedule since 2010. The vaccine is indicated for use from</w:t>
      </w:r>
      <w:r w:rsidR="00390EA1">
        <w:rPr>
          <w:lang w:eastAsia="en-GB"/>
        </w:rPr>
        <w:t xml:space="preserve"> 6</w:t>
      </w:r>
      <w:r w:rsidRPr="003C5180">
        <w:rPr>
          <w:lang w:eastAsia="en-GB"/>
        </w:rPr>
        <w:t>weeks of age and will be given according the UK schedule at 2, 4 and 12 months.</w:t>
      </w:r>
    </w:p>
    <w:p w14:paraId="1AD72BE1" w14:textId="77777777" w:rsidR="00B579C5" w:rsidRDefault="00B579C5" w:rsidP="003D42A8">
      <w:pPr>
        <w:ind w:left="360"/>
        <w:rPr>
          <w:lang w:eastAsia="en-GB"/>
        </w:rPr>
      </w:pPr>
      <w:r w:rsidRPr="003C5180">
        <w:rPr>
          <w:b/>
          <w:lang w:eastAsia="en-GB"/>
        </w:rPr>
        <w:t>Rotarix</w:t>
      </w:r>
      <w:r w:rsidRPr="003C5180">
        <w:rPr>
          <w:b/>
          <w:vertAlign w:val="superscript"/>
          <w:lang w:val="en-US"/>
        </w:rPr>
        <w:t>®</w:t>
      </w:r>
      <w:r w:rsidRPr="003C5180">
        <w:rPr>
          <w:lang w:eastAsia="en-GB"/>
        </w:rPr>
        <w:t xml:space="preserve"> (manufactured by GSK) is an oral vaccine which contains live, attenuated human rotavirus and has been used in the UK schedule since July 2013.  It is indicated for use from 6 to 24 weeks of age and will be given according to th</w:t>
      </w:r>
      <w:r>
        <w:rPr>
          <w:lang w:eastAsia="en-GB"/>
        </w:rPr>
        <w:t>e UK schedule at 2 and 3 months.</w:t>
      </w:r>
    </w:p>
    <w:p w14:paraId="4BBB28A2" w14:textId="77777777" w:rsidR="00B579C5" w:rsidRDefault="00B579C5" w:rsidP="003D42A8">
      <w:pPr>
        <w:ind w:left="360"/>
        <w:rPr>
          <w:lang w:eastAsia="en-GB"/>
        </w:rPr>
      </w:pPr>
      <w:r w:rsidRPr="003C5180">
        <w:rPr>
          <w:b/>
        </w:rPr>
        <w:t>Menitorix</w:t>
      </w:r>
      <w:r w:rsidRPr="003C5180">
        <w:rPr>
          <w:b/>
          <w:vertAlign w:val="superscript"/>
          <w:lang w:val="en-US"/>
        </w:rPr>
        <w:t>®</w:t>
      </w:r>
      <w:r w:rsidRPr="003C5180">
        <w:rPr>
          <w:vertAlign w:val="superscript"/>
          <w:lang w:val="en-US"/>
        </w:rPr>
        <w:t xml:space="preserve"> </w:t>
      </w:r>
      <w:r w:rsidRPr="003C5180">
        <w:rPr>
          <w:lang w:eastAsia="en-GB"/>
        </w:rPr>
        <w:t xml:space="preserve">(manufactured by GSK) is a combined </w:t>
      </w:r>
      <w:r w:rsidRPr="003C5180">
        <w:rPr>
          <w:i/>
          <w:lang w:eastAsia="en-GB"/>
        </w:rPr>
        <w:t>Haemophilus influenzae</w:t>
      </w:r>
      <w:r w:rsidRPr="003C5180">
        <w:rPr>
          <w:lang w:eastAsia="en-GB"/>
        </w:rPr>
        <w:t xml:space="preserve"> serotype b (Hib) and meningococcal serogroup C conjugate vaccine. It is indicated for use from 2 months to 2 years of age and will be given at 12 months according to the UK schedule. </w:t>
      </w:r>
    </w:p>
    <w:p w14:paraId="6612BD25" w14:textId="77777777" w:rsidR="00B579C5" w:rsidRPr="003D42A8" w:rsidRDefault="00B579C5" w:rsidP="00712212">
      <w:pPr>
        <w:ind w:left="360"/>
      </w:pPr>
      <w:r w:rsidRPr="003C5180">
        <w:rPr>
          <w:b/>
        </w:rPr>
        <w:t>Priorix</w:t>
      </w:r>
      <w:r w:rsidRPr="003C5180">
        <w:rPr>
          <w:b/>
          <w:vertAlign w:val="superscript"/>
          <w:lang w:val="en-US"/>
        </w:rPr>
        <w:t>®</w:t>
      </w:r>
      <w:r w:rsidRPr="003C5180">
        <w:rPr>
          <w:vertAlign w:val="superscript"/>
          <w:lang w:val="en-US"/>
        </w:rPr>
        <w:t xml:space="preserve"> </w:t>
      </w:r>
      <w:r w:rsidRPr="003C5180">
        <w:rPr>
          <w:lang w:eastAsia="en-GB"/>
        </w:rPr>
        <w:t xml:space="preserve">(manufactured by GSK) is a live attenuated vaccine that protects against measles, mumps and rubella. This is indicated for use from 9 months of age and will be given at 12 months according the UK schedule. </w:t>
      </w:r>
    </w:p>
    <w:p w14:paraId="77EF1CAA" w14:textId="77777777" w:rsidR="004571CC" w:rsidRPr="003C5180" w:rsidRDefault="004571CC" w:rsidP="008B45E8">
      <w:pPr>
        <w:pStyle w:val="Heading2"/>
        <w:numPr>
          <w:ilvl w:val="1"/>
          <w:numId w:val="37"/>
        </w:numPr>
        <w:rPr>
          <w:sz w:val="24"/>
        </w:rPr>
      </w:pPr>
      <w:bookmarkStart w:id="56" w:name="_Toc261532665"/>
      <w:bookmarkStart w:id="57" w:name="_Toc470102470"/>
      <w:r w:rsidRPr="003C5180">
        <w:rPr>
          <w:sz w:val="24"/>
        </w:rPr>
        <w:t>Concomitant treatment</w:t>
      </w:r>
      <w:bookmarkEnd w:id="56"/>
      <w:bookmarkEnd w:id="57"/>
    </w:p>
    <w:p w14:paraId="0F9AA9AF" w14:textId="660A7FD2" w:rsidR="006D7537" w:rsidRPr="003C5180" w:rsidRDefault="002D636F" w:rsidP="005B5E3C">
      <w:pPr>
        <w:jc w:val="both"/>
      </w:pPr>
      <w:r w:rsidRPr="003C5180">
        <w:t>Receipt of immunoglobulin or corticosteroids during the neonatal course wi</w:t>
      </w:r>
      <w:r w:rsidR="00130DF2" w:rsidRPr="003C5180">
        <w:t xml:space="preserve">ll not be an exclusion </w:t>
      </w:r>
      <w:r w:rsidR="00390EA1" w:rsidRPr="003C5180">
        <w:t>criteri</w:t>
      </w:r>
      <w:r w:rsidR="00390EA1">
        <w:t>on</w:t>
      </w:r>
      <w:r w:rsidR="00130DF2" w:rsidRPr="003C5180">
        <w:t>.</w:t>
      </w:r>
      <w:r w:rsidR="00B579C5">
        <w:t xml:space="preserve"> M</w:t>
      </w:r>
      <w:r w:rsidRPr="003C5180">
        <w:t>edications</w:t>
      </w:r>
      <w:r w:rsidR="00D035BC">
        <w:t xml:space="preserve"> of interest</w:t>
      </w:r>
      <w:r w:rsidRPr="003C5180">
        <w:t xml:space="preserve"> will be recorded at each visit on a concomitant medication form. </w:t>
      </w:r>
      <w:r w:rsidR="00D035BC">
        <w:t>These will include antibiotics, non-study vaccines</w:t>
      </w:r>
      <w:r w:rsidR="0053247C">
        <w:t xml:space="preserve">, </w:t>
      </w:r>
      <w:r w:rsidR="00D035BC">
        <w:t>immunosuppressant medication</w:t>
      </w:r>
      <w:r w:rsidR="00342442">
        <w:t xml:space="preserve"> </w:t>
      </w:r>
      <w:r w:rsidR="0053247C">
        <w:t>and Palivizumab</w:t>
      </w:r>
      <w:r w:rsidR="00D035BC">
        <w:t>.</w:t>
      </w:r>
      <w:r w:rsidR="00B579C5">
        <w:t xml:space="preserve"> </w:t>
      </w:r>
      <w:r w:rsidR="009C5FAB">
        <w:t xml:space="preserve">Both medications currently being taken and a history of medication use </w:t>
      </w:r>
      <w:r w:rsidR="0053247C">
        <w:t xml:space="preserve">since the previous visit </w:t>
      </w:r>
      <w:r w:rsidR="009C5FAB">
        <w:t xml:space="preserve">will be recorded. </w:t>
      </w:r>
    </w:p>
    <w:p w14:paraId="3B6C4A1C" w14:textId="77777777" w:rsidR="005B5E3C" w:rsidRPr="003C5180" w:rsidRDefault="00A477A3" w:rsidP="008B45E8">
      <w:pPr>
        <w:pStyle w:val="Heading1"/>
        <w:numPr>
          <w:ilvl w:val="0"/>
          <w:numId w:val="37"/>
        </w:numPr>
        <w:rPr>
          <w:rFonts w:ascii="Calibri" w:hAnsi="Calibri"/>
        </w:rPr>
      </w:pPr>
      <w:bookmarkStart w:id="58" w:name="_Toc470102471"/>
      <w:bookmarkStart w:id="59" w:name="_Toc261532667"/>
      <w:r w:rsidRPr="003C5180">
        <w:rPr>
          <w:rFonts w:ascii="Calibri" w:hAnsi="Calibri"/>
        </w:rPr>
        <w:t>Participant Selection criteria</w:t>
      </w:r>
      <w:bookmarkEnd w:id="58"/>
    </w:p>
    <w:p w14:paraId="4463DC1A" w14:textId="77777777" w:rsidR="00A477A3" w:rsidRPr="003C5180" w:rsidRDefault="00A477A3" w:rsidP="002D636F">
      <w:pPr>
        <w:pStyle w:val="Normal-nospacing"/>
        <w:spacing w:line="240" w:lineRule="auto"/>
        <w:rPr>
          <w:szCs w:val="24"/>
        </w:rPr>
      </w:pPr>
      <w:r w:rsidRPr="003C5180">
        <w:rPr>
          <w:szCs w:val="24"/>
        </w:rPr>
        <w:t xml:space="preserve">There will be no exceptions (waivers) to eligibility criteria prior to participant inclusion into the study. Any questions raised about eligibility should be addressed prior to </w:t>
      </w:r>
      <w:r w:rsidR="00D97DB4">
        <w:rPr>
          <w:szCs w:val="24"/>
        </w:rPr>
        <w:t>inclusion</w:t>
      </w:r>
      <w:r w:rsidRPr="003C5180">
        <w:rPr>
          <w:szCs w:val="24"/>
        </w:rPr>
        <w:t>.</w:t>
      </w:r>
    </w:p>
    <w:p w14:paraId="45FFB9AC" w14:textId="77777777" w:rsidR="00D008CA" w:rsidRPr="003C5180" w:rsidRDefault="00A477A3" w:rsidP="002D636F">
      <w:pPr>
        <w:pStyle w:val="Normal-nospacing"/>
        <w:spacing w:line="240" w:lineRule="auto"/>
        <w:rPr>
          <w:szCs w:val="24"/>
        </w:rPr>
      </w:pPr>
      <w:r w:rsidRPr="003C5180">
        <w:rPr>
          <w:szCs w:val="24"/>
        </w:rPr>
        <w:t xml:space="preserve">The eligibility criteria have been carefully considered and are </w:t>
      </w:r>
      <w:r w:rsidR="00390EA1">
        <w:rPr>
          <w:szCs w:val="24"/>
        </w:rPr>
        <w:t>chosen</w:t>
      </w:r>
      <w:r w:rsidRPr="003C5180">
        <w:rPr>
          <w:szCs w:val="24"/>
        </w:rPr>
        <w:t xml:space="preserve"> to ensure both the safety of the participants and that the trial results can be appropriately used to make future decisions for </w:t>
      </w:r>
      <w:r w:rsidR="00D97DB4">
        <w:rPr>
          <w:szCs w:val="24"/>
        </w:rPr>
        <w:t>babies born prematurely</w:t>
      </w:r>
      <w:r w:rsidR="00390EA1">
        <w:rPr>
          <w:szCs w:val="24"/>
        </w:rPr>
        <w:t xml:space="preserve"> as a general group</w:t>
      </w:r>
      <w:r w:rsidRPr="003C5180">
        <w:rPr>
          <w:szCs w:val="24"/>
        </w:rPr>
        <w:t>.</w:t>
      </w:r>
      <w:r w:rsidR="00D008CA" w:rsidRPr="003C5180">
        <w:rPr>
          <w:szCs w:val="24"/>
        </w:rPr>
        <w:t xml:space="preserve"> It is therefore vital </w:t>
      </w:r>
      <w:r w:rsidR="00D97DB4">
        <w:rPr>
          <w:szCs w:val="24"/>
        </w:rPr>
        <w:t xml:space="preserve">that </w:t>
      </w:r>
      <w:r w:rsidR="00D008CA" w:rsidRPr="003C5180">
        <w:rPr>
          <w:szCs w:val="24"/>
        </w:rPr>
        <w:t xml:space="preserve">exceptions are not made to the selection criteria. </w:t>
      </w:r>
      <w:r w:rsidR="007E61DF" w:rsidRPr="003C5180">
        <w:rPr>
          <w:szCs w:val="24"/>
        </w:rPr>
        <w:t>Deviations from the eligibility criteria are considered to be protocol violation</w:t>
      </w:r>
      <w:r w:rsidR="00D97DB4">
        <w:rPr>
          <w:szCs w:val="24"/>
        </w:rPr>
        <w:t>s</w:t>
      </w:r>
      <w:r w:rsidR="007E61DF" w:rsidRPr="003C5180">
        <w:rPr>
          <w:szCs w:val="24"/>
        </w:rPr>
        <w:t xml:space="preserve"> and may be reported</w:t>
      </w:r>
      <w:r w:rsidR="002D636F" w:rsidRPr="003C5180">
        <w:rPr>
          <w:szCs w:val="24"/>
        </w:rPr>
        <w:t xml:space="preserve"> to the MHRA as a serious breach.</w:t>
      </w:r>
    </w:p>
    <w:p w14:paraId="7E82C85B" w14:textId="77777777" w:rsidR="00D008CA" w:rsidRPr="003C5180" w:rsidRDefault="007D016C" w:rsidP="002D636F">
      <w:pPr>
        <w:pStyle w:val="Normal-nospacing"/>
        <w:spacing w:line="240" w:lineRule="auto"/>
        <w:rPr>
          <w:szCs w:val="24"/>
        </w:rPr>
      </w:pPr>
      <w:r w:rsidRPr="003C5180">
        <w:rPr>
          <w:szCs w:val="24"/>
        </w:rPr>
        <w:t xml:space="preserve">All participants that are screened for inclusion into the study must be entered onto the </w:t>
      </w:r>
      <w:r w:rsidR="00712212">
        <w:rPr>
          <w:szCs w:val="24"/>
        </w:rPr>
        <w:t>S</w:t>
      </w:r>
      <w:r w:rsidRPr="003C5180">
        <w:rPr>
          <w:szCs w:val="24"/>
        </w:rPr>
        <w:t xml:space="preserve">ponsor screening log </w:t>
      </w:r>
      <w:r w:rsidR="00E153A6">
        <w:rPr>
          <w:szCs w:val="24"/>
        </w:rPr>
        <w:t xml:space="preserve">JREOLOG0001 </w:t>
      </w:r>
      <w:r w:rsidRPr="003C5180">
        <w:rPr>
          <w:szCs w:val="24"/>
        </w:rPr>
        <w:t xml:space="preserve">and will be assigned a sequential number. </w:t>
      </w:r>
      <w:r w:rsidR="00D008CA" w:rsidRPr="003C5180">
        <w:rPr>
          <w:szCs w:val="24"/>
        </w:rPr>
        <w:t>Participants will be considered eligible for enrolment into this trial if they fulfil all of the inclusion criteria and none of the exclusion criteria as defined below.</w:t>
      </w:r>
      <w:r w:rsidR="006B6E15" w:rsidRPr="003C5180">
        <w:rPr>
          <w:szCs w:val="24"/>
        </w:rPr>
        <w:t xml:space="preserve"> </w:t>
      </w:r>
    </w:p>
    <w:p w14:paraId="7A4D5932" w14:textId="77777777" w:rsidR="006B6E15" w:rsidRDefault="006B6E15" w:rsidP="00F4235D">
      <w:pPr>
        <w:pStyle w:val="Normal-nospacing"/>
        <w:spacing w:line="240" w:lineRule="auto"/>
        <w:rPr>
          <w:rFonts w:cs="Tahoma"/>
          <w:sz w:val="22"/>
          <w:szCs w:val="22"/>
        </w:rPr>
      </w:pPr>
      <w:r w:rsidRPr="003C5180">
        <w:rPr>
          <w:szCs w:val="24"/>
        </w:rPr>
        <w:t xml:space="preserve">Eligible participants will be entered onto the </w:t>
      </w:r>
      <w:r w:rsidR="00712212">
        <w:rPr>
          <w:szCs w:val="24"/>
        </w:rPr>
        <w:t>S</w:t>
      </w:r>
      <w:r w:rsidRPr="003C5180">
        <w:rPr>
          <w:szCs w:val="24"/>
        </w:rPr>
        <w:t>ponsors Subject ID lo</w:t>
      </w:r>
      <w:r w:rsidR="009C5FAB">
        <w:rPr>
          <w:szCs w:val="24"/>
        </w:rPr>
        <w:t>g</w:t>
      </w:r>
      <w:r w:rsidRPr="003C5180">
        <w:rPr>
          <w:szCs w:val="24"/>
        </w:rPr>
        <w:t xml:space="preserve"> </w:t>
      </w:r>
      <w:r w:rsidR="00E153A6">
        <w:rPr>
          <w:szCs w:val="24"/>
        </w:rPr>
        <w:t xml:space="preserve">JREOLOG0002 </w:t>
      </w:r>
      <w:r w:rsidRPr="003C5180">
        <w:rPr>
          <w:szCs w:val="24"/>
        </w:rPr>
        <w:t>and assigned a Trial specific Identification number in a pre-agreed format in accordance with Site identifier and next sequential numerical value e.g. SG001</w:t>
      </w:r>
    </w:p>
    <w:p w14:paraId="0463C309" w14:textId="77777777" w:rsidR="00464477" w:rsidRPr="003C5180" w:rsidRDefault="00464477" w:rsidP="00F4235D">
      <w:pPr>
        <w:pStyle w:val="Normal-nospacing"/>
        <w:spacing w:line="240" w:lineRule="auto"/>
        <w:rPr>
          <w:rFonts w:cs="Tahoma"/>
          <w:sz w:val="22"/>
          <w:szCs w:val="22"/>
        </w:rPr>
      </w:pPr>
    </w:p>
    <w:p w14:paraId="023DEB18" w14:textId="77777777" w:rsidR="004571CC" w:rsidRPr="003C5180" w:rsidRDefault="007E61DF" w:rsidP="00F4235D">
      <w:pPr>
        <w:pStyle w:val="Heading2"/>
        <w:numPr>
          <w:ilvl w:val="1"/>
          <w:numId w:val="21"/>
        </w:numPr>
        <w:spacing w:after="0"/>
        <w:rPr>
          <w:sz w:val="24"/>
        </w:rPr>
      </w:pPr>
      <w:r w:rsidRPr="003C5180">
        <w:rPr>
          <w:sz w:val="24"/>
        </w:rPr>
        <w:t xml:space="preserve">   </w:t>
      </w:r>
      <w:bookmarkStart w:id="60" w:name="_Toc470102472"/>
      <w:r w:rsidR="004571CC" w:rsidRPr="003C5180">
        <w:rPr>
          <w:sz w:val="24"/>
        </w:rPr>
        <w:t>Inclusion criteria</w:t>
      </w:r>
      <w:bookmarkEnd w:id="59"/>
      <w:bookmarkEnd w:id="60"/>
    </w:p>
    <w:p w14:paraId="1C709B63" w14:textId="77777777" w:rsidR="0038422D" w:rsidRPr="003C5180" w:rsidRDefault="0038422D" w:rsidP="00B22311">
      <w:pPr>
        <w:pStyle w:val="Normal-nospacing"/>
        <w:numPr>
          <w:ilvl w:val="0"/>
          <w:numId w:val="28"/>
        </w:numPr>
        <w:spacing w:line="240" w:lineRule="auto"/>
        <w:rPr>
          <w:szCs w:val="24"/>
        </w:rPr>
      </w:pPr>
      <w:bookmarkStart w:id="61" w:name="_Toc261532668"/>
      <w:r w:rsidRPr="003C5180">
        <w:rPr>
          <w:szCs w:val="24"/>
        </w:rPr>
        <w:t>Premature infant born at &lt;35 weeks gestation</w:t>
      </w:r>
    </w:p>
    <w:p w14:paraId="2705EA21" w14:textId="77777777" w:rsidR="0038422D" w:rsidRPr="003C5180" w:rsidRDefault="0038422D" w:rsidP="00B22311">
      <w:pPr>
        <w:pStyle w:val="Normal-nospacing"/>
        <w:numPr>
          <w:ilvl w:val="0"/>
          <w:numId w:val="28"/>
        </w:numPr>
        <w:spacing w:line="240" w:lineRule="auto"/>
        <w:rPr>
          <w:szCs w:val="24"/>
        </w:rPr>
      </w:pPr>
      <w:r w:rsidRPr="003C5180">
        <w:rPr>
          <w:szCs w:val="24"/>
        </w:rPr>
        <w:t>No contraindications to vaccination according to the ‘Green Book’</w:t>
      </w:r>
    </w:p>
    <w:p w14:paraId="28F3B135" w14:textId="77777777" w:rsidR="002D636F" w:rsidRPr="003C5180" w:rsidRDefault="002D636F" w:rsidP="00B22311">
      <w:pPr>
        <w:pStyle w:val="Normal-nospacing"/>
        <w:numPr>
          <w:ilvl w:val="0"/>
          <w:numId w:val="28"/>
        </w:numPr>
        <w:spacing w:line="240" w:lineRule="auto"/>
        <w:rPr>
          <w:szCs w:val="24"/>
        </w:rPr>
      </w:pPr>
      <w:r w:rsidRPr="003C5180">
        <w:rPr>
          <w:szCs w:val="24"/>
        </w:rPr>
        <w:t>Willing and able to comply with study procedures</w:t>
      </w:r>
    </w:p>
    <w:p w14:paraId="27E20117" w14:textId="77777777" w:rsidR="002D636F" w:rsidRPr="003C5180" w:rsidRDefault="0038422D" w:rsidP="00B22311">
      <w:pPr>
        <w:pStyle w:val="Normal-nospacing"/>
        <w:numPr>
          <w:ilvl w:val="0"/>
          <w:numId w:val="28"/>
        </w:numPr>
        <w:spacing w:line="240" w:lineRule="auto"/>
        <w:rPr>
          <w:szCs w:val="24"/>
        </w:rPr>
      </w:pPr>
      <w:r w:rsidRPr="003C5180">
        <w:rPr>
          <w:szCs w:val="24"/>
        </w:rPr>
        <w:t>Written informed consent</w:t>
      </w:r>
    </w:p>
    <w:p w14:paraId="2450AA18" w14:textId="6D355957" w:rsidR="0038422D" w:rsidRPr="003C5180" w:rsidRDefault="0038422D" w:rsidP="0038422D">
      <w:pPr>
        <w:pStyle w:val="Heading2"/>
        <w:numPr>
          <w:ilvl w:val="0"/>
          <w:numId w:val="0"/>
        </w:numPr>
        <w:ind w:left="517"/>
        <w:rPr>
          <w:rFonts w:cs="Tahoma"/>
          <w:sz w:val="24"/>
          <w:lang w:eastAsia="en-GB"/>
        </w:rPr>
      </w:pPr>
    </w:p>
    <w:p w14:paraId="459A3349" w14:textId="77777777" w:rsidR="004571CC" w:rsidRPr="003C5180" w:rsidRDefault="00676E9A" w:rsidP="00F4235D">
      <w:pPr>
        <w:pStyle w:val="Heading2"/>
        <w:numPr>
          <w:ilvl w:val="1"/>
          <w:numId w:val="21"/>
        </w:numPr>
        <w:spacing w:after="0"/>
        <w:rPr>
          <w:rFonts w:cs="Tahoma"/>
          <w:sz w:val="24"/>
          <w:lang w:eastAsia="en-GB"/>
        </w:rPr>
      </w:pPr>
      <w:r w:rsidRPr="003C5180">
        <w:rPr>
          <w:rFonts w:cs="Tahoma"/>
          <w:sz w:val="24"/>
          <w:lang w:eastAsia="en-GB"/>
        </w:rPr>
        <w:t xml:space="preserve">   </w:t>
      </w:r>
      <w:bookmarkStart w:id="62" w:name="_Toc470102473"/>
      <w:r w:rsidR="004571CC" w:rsidRPr="003C5180">
        <w:rPr>
          <w:rFonts w:cs="Tahoma"/>
          <w:sz w:val="24"/>
          <w:lang w:eastAsia="en-GB"/>
        </w:rPr>
        <w:t>Exclusion criteria</w:t>
      </w:r>
      <w:bookmarkEnd w:id="61"/>
      <w:bookmarkEnd w:id="62"/>
    </w:p>
    <w:p w14:paraId="47AE45D2" w14:textId="77777777" w:rsidR="00085D22" w:rsidRDefault="0038422D" w:rsidP="008E30E8">
      <w:pPr>
        <w:widowControl w:val="0"/>
        <w:numPr>
          <w:ilvl w:val="0"/>
          <w:numId w:val="28"/>
        </w:numPr>
        <w:autoSpaceDE w:val="0"/>
        <w:autoSpaceDN w:val="0"/>
        <w:adjustRightInd w:val="0"/>
        <w:spacing w:after="0" w:line="300" w:lineRule="exact"/>
      </w:pPr>
      <w:r w:rsidRPr="003C5180">
        <w:t>Contraindication to vaccination according to the Green Book</w:t>
      </w:r>
    </w:p>
    <w:p w14:paraId="03B95C04" w14:textId="77777777" w:rsidR="00085D22" w:rsidRPr="00D42BF6" w:rsidRDefault="00085D22" w:rsidP="00085D22">
      <w:pPr>
        <w:widowControl w:val="0"/>
        <w:numPr>
          <w:ilvl w:val="0"/>
          <w:numId w:val="28"/>
        </w:numPr>
        <w:autoSpaceDE w:val="0"/>
        <w:autoSpaceDN w:val="0"/>
        <w:adjustRightInd w:val="0"/>
        <w:spacing w:after="0" w:line="300" w:lineRule="exact"/>
        <w:rPr>
          <w:rFonts w:cs="Arial"/>
          <w:szCs w:val="22"/>
        </w:rPr>
      </w:pPr>
      <w:r w:rsidRPr="00D42BF6">
        <w:rPr>
          <w:rFonts w:cs="Arial"/>
          <w:szCs w:val="22"/>
        </w:rPr>
        <w:t>Life-</w:t>
      </w:r>
      <w:r>
        <w:rPr>
          <w:rFonts w:cs="Arial"/>
          <w:szCs w:val="22"/>
        </w:rPr>
        <w:t>limit</w:t>
      </w:r>
      <w:r w:rsidRPr="00D42BF6">
        <w:rPr>
          <w:rFonts w:cs="Arial"/>
          <w:szCs w:val="22"/>
        </w:rPr>
        <w:t>ing congenital abnormality</w:t>
      </w:r>
      <w:r>
        <w:rPr>
          <w:rFonts w:cs="Arial"/>
          <w:szCs w:val="22"/>
        </w:rPr>
        <w:t xml:space="preserve"> or condition</w:t>
      </w:r>
      <w:r w:rsidRPr="00D42BF6">
        <w:rPr>
          <w:rFonts w:cs="Arial"/>
          <w:szCs w:val="22"/>
        </w:rPr>
        <w:t xml:space="preserve"> </w:t>
      </w:r>
    </w:p>
    <w:p w14:paraId="790BA6F1" w14:textId="77777777" w:rsidR="008E30E8" w:rsidRPr="003C5180" w:rsidRDefault="008E30E8" w:rsidP="008E30E8">
      <w:pPr>
        <w:pStyle w:val="Normal-nospacing"/>
        <w:numPr>
          <w:ilvl w:val="0"/>
          <w:numId w:val="28"/>
        </w:numPr>
        <w:spacing w:line="240" w:lineRule="auto"/>
        <w:rPr>
          <w:szCs w:val="24"/>
        </w:rPr>
      </w:pPr>
      <w:r>
        <w:rPr>
          <w:szCs w:val="24"/>
        </w:rPr>
        <w:t>Prior d</w:t>
      </w:r>
      <w:r w:rsidRPr="003C5180">
        <w:rPr>
          <w:szCs w:val="24"/>
        </w:rPr>
        <w:t>iagnosis of an immunodeficiency syndrome</w:t>
      </w:r>
    </w:p>
    <w:p w14:paraId="4F10732C" w14:textId="77777777" w:rsidR="00EF6AED" w:rsidRDefault="00EF6AED" w:rsidP="00EF6AED">
      <w:pPr>
        <w:pStyle w:val="Normal-nospacing"/>
        <w:numPr>
          <w:ilvl w:val="0"/>
          <w:numId w:val="28"/>
        </w:numPr>
        <w:spacing w:line="240" w:lineRule="auto"/>
        <w:rPr>
          <w:szCs w:val="24"/>
        </w:rPr>
      </w:pPr>
      <w:r>
        <w:rPr>
          <w:szCs w:val="24"/>
        </w:rPr>
        <w:t>Considered unlikely to complete expected follow up until the end of the study</w:t>
      </w:r>
    </w:p>
    <w:p w14:paraId="7DB5A120" w14:textId="55C08406" w:rsidR="008C2FD0" w:rsidRDefault="008C2FD0" w:rsidP="00EF6AED">
      <w:pPr>
        <w:pStyle w:val="Normal-nospacing"/>
        <w:numPr>
          <w:ilvl w:val="0"/>
          <w:numId w:val="28"/>
        </w:numPr>
        <w:spacing w:line="240" w:lineRule="auto"/>
        <w:rPr>
          <w:szCs w:val="24"/>
        </w:rPr>
      </w:pPr>
      <w:r>
        <w:rPr>
          <w:szCs w:val="24"/>
        </w:rPr>
        <w:t>Child in care</w:t>
      </w:r>
    </w:p>
    <w:p w14:paraId="451F3022" w14:textId="77777777" w:rsidR="008B45E8" w:rsidRPr="003C5180" w:rsidRDefault="008B45E8" w:rsidP="008B45E8">
      <w:pPr>
        <w:pStyle w:val="Normal-nospacing"/>
        <w:spacing w:line="240" w:lineRule="auto"/>
        <w:ind w:left="720"/>
        <w:rPr>
          <w:szCs w:val="24"/>
        </w:rPr>
      </w:pPr>
    </w:p>
    <w:p w14:paraId="58865753" w14:textId="77777777" w:rsidR="004571CC" w:rsidRPr="003C5180" w:rsidRDefault="008B45E8" w:rsidP="008B45E8">
      <w:pPr>
        <w:pStyle w:val="Normal-nospacing"/>
        <w:numPr>
          <w:ilvl w:val="0"/>
          <w:numId w:val="21"/>
        </w:numPr>
        <w:spacing w:line="240" w:lineRule="auto"/>
        <w:rPr>
          <w:b/>
          <w:sz w:val="28"/>
          <w:szCs w:val="28"/>
        </w:rPr>
      </w:pPr>
      <w:r w:rsidRPr="003C5180">
        <w:rPr>
          <w:b/>
          <w:sz w:val="28"/>
          <w:szCs w:val="28"/>
        </w:rPr>
        <w:t xml:space="preserve"> </w:t>
      </w:r>
      <w:r w:rsidR="007F6710" w:rsidRPr="003C5180">
        <w:rPr>
          <w:b/>
          <w:sz w:val="28"/>
          <w:szCs w:val="28"/>
        </w:rPr>
        <w:t>Subject/Patient Recruitment process</w:t>
      </w:r>
    </w:p>
    <w:p w14:paraId="34D0F63A" w14:textId="77777777" w:rsidR="00086A22" w:rsidRPr="003C5180" w:rsidRDefault="00086A22" w:rsidP="00086A22">
      <w:pPr>
        <w:autoSpaceDE w:val="0"/>
        <w:autoSpaceDN w:val="0"/>
        <w:adjustRightInd w:val="0"/>
        <w:jc w:val="both"/>
      </w:pPr>
      <w:r w:rsidRPr="003C5180">
        <w:t xml:space="preserve">Patient recruitment at a site will only commence once </w:t>
      </w:r>
      <w:r w:rsidR="005E3FFB" w:rsidRPr="003C5180">
        <w:t xml:space="preserve">evidence of </w:t>
      </w:r>
      <w:r w:rsidRPr="003C5180">
        <w:t xml:space="preserve">the following are in place: </w:t>
      </w:r>
    </w:p>
    <w:p w14:paraId="4F82D833" w14:textId="77777777" w:rsidR="00086A22" w:rsidRPr="003C5180" w:rsidRDefault="00086A22" w:rsidP="005C4B4A">
      <w:pPr>
        <w:tabs>
          <w:tab w:val="left" w:pos="1134"/>
        </w:tabs>
        <w:autoSpaceDE w:val="0"/>
        <w:autoSpaceDN w:val="0"/>
        <w:adjustRightInd w:val="0"/>
        <w:ind w:left="850"/>
        <w:jc w:val="both"/>
      </w:pPr>
      <w:r w:rsidRPr="003C5180">
        <w:t>1.</w:t>
      </w:r>
      <w:r w:rsidR="005C4B4A" w:rsidRPr="003C5180">
        <w:t xml:space="preserve"> </w:t>
      </w:r>
      <w:r w:rsidR="005E3FFB" w:rsidRPr="003C5180">
        <w:t xml:space="preserve">REC approval, </w:t>
      </w:r>
      <w:r w:rsidR="00FE22B4">
        <w:t>MHRA</w:t>
      </w:r>
      <w:r w:rsidR="005E3FFB" w:rsidRPr="003C5180">
        <w:t xml:space="preserve"> Confirmation of Trial notification</w:t>
      </w:r>
      <w:r w:rsidRPr="003C5180">
        <w:t xml:space="preserve">, </w:t>
      </w:r>
      <w:r w:rsidR="00FE22B4">
        <w:t>H</w:t>
      </w:r>
      <w:r w:rsidR="00EF6AED">
        <w:t xml:space="preserve">ealth </w:t>
      </w:r>
      <w:r w:rsidR="00FE22B4">
        <w:t>R</w:t>
      </w:r>
      <w:r w:rsidR="00EF6AED">
        <w:t xml:space="preserve">esearch </w:t>
      </w:r>
      <w:r w:rsidR="00FE22B4">
        <w:t>A</w:t>
      </w:r>
      <w:r w:rsidR="00EF6AED">
        <w:t>uthority (HRA)</w:t>
      </w:r>
      <w:r w:rsidR="00FE22B4">
        <w:t xml:space="preserve"> approval</w:t>
      </w:r>
    </w:p>
    <w:p w14:paraId="69AD0127" w14:textId="77777777" w:rsidR="005E3FFB" w:rsidRPr="003C5180" w:rsidRDefault="00086A22" w:rsidP="005E3FFB">
      <w:pPr>
        <w:autoSpaceDE w:val="0"/>
        <w:autoSpaceDN w:val="0"/>
        <w:adjustRightInd w:val="0"/>
        <w:ind w:left="850"/>
        <w:jc w:val="both"/>
      </w:pPr>
      <w:r w:rsidRPr="003C5180">
        <w:t xml:space="preserve">2. </w:t>
      </w:r>
      <w:r w:rsidR="005E3FFB" w:rsidRPr="003C5180">
        <w:t xml:space="preserve">Signed Delegation of Duties and </w:t>
      </w:r>
      <w:r w:rsidR="003E0B5F" w:rsidRPr="003C5180">
        <w:t>Sponsorship Agreement</w:t>
      </w:r>
      <w:r w:rsidR="005E3FFB" w:rsidRPr="003C5180">
        <w:t xml:space="preserve"> returned to </w:t>
      </w:r>
      <w:r w:rsidR="005C4B4A" w:rsidRPr="003C5180">
        <w:t xml:space="preserve">the </w:t>
      </w:r>
      <w:bookmarkStart w:id="63" w:name="OLE_LINK37"/>
      <w:bookmarkStart w:id="64" w:name="OLE_LINK38"/>
      <w:r w:rsidR="005E3FFB" w:rsidRPr="003C5180">
        <w:t>JREO</w:t>
      </w:r>
      <w:bookmarkEnd w:id="63"/>
      <w:bookmarkEnd w:id="64"/>
    </w:p>
    <w:p w14:paraId="2D123333" w14:textId="77777777" w:rsidR="007746BB" w:rsidRPr="003C5180" w:rsidRDefault="007746BB" w:rsidP="007746BB">
      <w:pPr>
        <w:autoSpaceDE w:val="0"/>
        <w:autoSpaceDN w:val="0"/>
        <w:adjustRightInd w:val="0"/>
        <w:ind w:left="850"/>
        <w:jc w:val="both"/>
      </w:pPr>
      <w:r w:rsidRPr="003C5180">
        <w:t>3.</w:t>
      </w:r>
      <w:r w:rsidR="005C4B4A" w:rsidRPr="003C5180">
        <w:t xml:space="preserve"> </w:t>
      </w:r>
      <w:r w:rsidRPr="003C5180">
        <w:t xml:space="preserve">Final </w:t>
      </w:r>
      <w:r w:rsidR="00F864E9">
        <w:t>approval of the S</w:t>
      </w:r>
      <w:r w:rsidR="00F864E9" w:rsidRPr="003C5180">
        <w:t xml:space="preserve">ponsor </w:t>
      </w:r>
      <w:r w:rsidRPr="003C5180">
        <w:t xml:space="preserve">(which may include </w:t>
      </w:r>
      <w:r w:rsidR="000E52D2" w:rsidRPr="003C5180">
        <w:t xml:space="preserve">evidence of </w:t>
      </w:r>
      <w:r w:rsidR="00F864E9">
        <w:t xml:space="preserve">local </w:t>
      </w:r>
      <w:r w:rsidRPr="003C5180">
        <w:t>Pharmacy Green light)</w:t>
      </w:r>
      <w:r w:rsidR="005C4B4A" w:rsidRPr="003C5180">
        <w:t xml:space="preserve"> </w:t>
      </w:r>
      <w:r w:rsidRPr="003C5180">
        <w:t xml:space="preserve">issued by </w:t>
      </w:r>
      <w:r w:rsidR="00FE22B4">
        <w:t>S</w:t>
      </w:r>
      <w:r w:rsidRPr="003C5180">
        <w:t xml:space="preserve">ponsor representative </w:t>
      </w:r>
      <w:r w:rsidR="005C4B4A" w:rsidRPr="003C5180">
        <w:t xml:space="preserve">of the </w:t>
      </w:r>
      <w:r w:rsidRPr="003C5180">
        <w:t>JREO</w:t>
      </w:r>
    </w:p>
    <w:p w14:paraId="2E42F2EF" w14:textId="77777777" w:rsidR="007746BB" w:rsidRPr="003C5180" w:rsidRDefault="007746BB" w:rsidP="005C4B4A">
      <w:pPr>
        <w:tabs>
          <w:tab w:val="left" w:pos="1134"/>
        </w:tabs>
        <w:autoSpaceDE w:val="0"/>
        <w:autoSpaceDN w:val="0"/>
        <w:adjustRightInd w:val="0"/>
        <w:ind w:left="850"/>
        <w:jc w:val="both"/>
      </w:pPr>
      <w:r w:rsidRPr="003C5180">
        <w:t xml:space="preserve">4. </w:t>
      </w:r>
      <w:r w:rsidR="005C4B4A" w:rsidRPr="003C5180">
        <w:t xml:space="preserve"> </w:t>
      </w:r>
      <w:r w:rsidR="00FE22B4">
        <w:t xml:space="preserve">Confirmation of Capacity and Capability issued by the </w:t>
      </w:r>
      <w:r w:rsidR="00F864E9">
        <w:t xml:space="preserve">local </w:t>
      </w:r>
      <w:r w:rsidR="00FE22B4">
        <w:t>R&amp;D department</w:t>
      </w:r>
      <w:r w:rsidRPr="003C5180">
        <w:t xml:space="preserve">, </w:t>
      </w:r>
    </w:p>
    <w:p w14:paraId="596E98A2" w14:textId="77777777" w:rsidR="005E3FFB" w:rsidRPr="003C5180" w:rsidRDefault="007746BB" w:rsidP="005E3FFB">
      <w:pPr>
        <w:autoSpaceDE w:val="0"/>
        <w:autoSpaceDN w:val="0"/>
        <w:adjustRightInd w:val="0"/>
        <w:ind w:left="850"/>
        <w:jc w:val="both"/>
      </w:pPr>
      <w:r w:rsidRPr="003C5180">
        <w:t>5</w:t>
      </w:r>
      <w:r w:rsidR="005C4B4A" w:rsidRPr="003C5180">
        <w:t xml:space="preserve">. </w:t>
      </w:r>
      <w:r w:rsidRPr="003C5180">
        <w:t xml:space="preserve">The </w:t>
      </w:r>
      <w:r w:rsidR="005E3FFB" w:rsidRPr="003C5180">
        <w:t xml:space="preserve">trial initiation procedure </w:t>
      </w:r>
      <w:r w:rsidRPr="003C5180">
        <w:t xml:space="preserve">completed </w:t>
      </w:r>
      <w:r w:rsidR="005E3FFB" w:rsidRPr="003C5180">
        <w:t xml:space="preserve">and </w:t>
      </w:r>
      <w:r w:rsidR="005C4B4A" w:rsidRPr="003C5180">
        <w:t>the</w:t>
      </w:r>
      <w:r w:rsidR="005E3FFB" w:rsidRPr="003C5180">
        <w:t xml:space="preserve"> issue</w:t>
      </w:r>
      <w:r w:rsidR="005C4B4A" w:rsidRPr="003C5180">
        <w:t xml:space="preserve"> of</w:t>
      </w:r>
      <w:r w:rsidR="005E3FFB" w:rsidRPr="003C5180">
        <w:t xml:space="preserve"> the ‘Open to recruitment’ letter</w:t>
      </w:r>
      <w:r w:rsidR="005C4B4A" w:rsidRPr="003C5180">
        <w:t xml:space="preserve"> by the JREO</w:t>
      </w:r>
    </w:p>
    <w:p w14:paraId="02E26894" w14:textId="77777777" w:rsidR="00086A22" w:rsidRPr="003C5180" w:rsidRDefault="00086A22" w:rsidP="00086A22">
      <w:pPr>
        <w:autoSpaceDE w:val="0"/>
        <w:autoSpaceDN w:val="0"/>
        <w:adjustRightInd w:val="0"/>
        <w:jc w:val="both"/>
      </w:pPr>
      <w:r w:rsidRPr="003C5180">
        <w:t>All sites participating in the trial will also be asked to provide a copy of the</w:t>
      </w:r>
      <w:r w:rsidR="00DE6944" w:rsidRPr="003C5180">
        <w:t xml:space="preserve"> following</w:t>
      </w:r>
      <w:r w:rsidRPr="003C5180">
        <w:t xml:space="preserve">: </w:t>
      </w:r>
    </w:p>
    <w:p w14:paraId="42D2B48E" w14:textId="77777777" w:rsidR="00086A22" w:rsidRPr="003C5180" w:rsidRDefault="00086A22" w:rsidP="00086A22">
      <w:pPr>
        <w:autoSpaceDE w:val="0"/>
        <w:autoSpaceDN w:val="0"/>
        <w:adjustRightInd w:val="0"/>
        <w:ind w:left="850"/>
        <w:jc w:val="both"/>
      </w:pPr>
      <w:r w:rsidRPr="003C5180">
        <w:t>1. Signed Clinical Trial Site Agreement (CTSA)</w:t>
      </w:r>
      <w:r w:rsidR="00FE22B4">
        <w:t xml:space="preserve"> or HRA Statement of Activities</w:t>
      </w:r>
      <w:r w:rsidRPr="003C5180">
        <w:t>,</w:t>
      </w:r>
    </w:p>
    <w:p w14:paraId="28658DAC" w14:textId="77777777" w:rsidR="00086A22" w:rsidRPr="003C5180" w:rsidRDefault="00086A22" w:rsidP="00086A22">
      <w:pPr>
        <w:autoSpaceDE w:val="0"/>
        <w:autoSpaceDN w:val="0"/>
        <w:adjustRightInd w:val="0"/>
        <w:ind w:left="850"/>
        <w:jc w:val="both"/>
      </w:pPr>
      <w:r w:rsidRPr="003C5180">
        <w:t xml:space="preserve">2. </w:t>
      </w:r>
      <w:r w:rsidR="00FE22B4">
        <w:t xml:space="preserve">Confirmation of Capacity and Capability issued by the </w:t>
      </w:r>
      <w:r w:rsidR="00F864E9">
        <w:t xml:space="preserve">local </w:t>
      </w:r>
      <w:r w:rsidR="00FE22B4">
        <w:t>R&amp;D department</w:t>
      </w:r>
    </w:p>
    <w:p w14:paraId="5AF8C10C" w14:textId="77777777" w:rsidR="00086A22" w:rsidRPr="003C5180" w:rsidRDefault="00086A22" w:rsidP="00086A22">
      <w:pPr>
        <w:jc w:val="both"/>
      </w:pPr>
      <w:r w:rsidRPr="003C5180">
        <w:t xml:space="preserve">All </w:t>
      </w:r>
      <w:r w:rsidR="008E30E8">
        <w:t>potential participants whose parents wish them to</w:t>
      </w:r>
      <w:r w:rsidRPr="003C5180">
        <w:t xml:space="preserve"> enter the study will be fully screened and consented by the </w:t>
      </w:r>
      <w:r w:rsidR="003D42A8">
        <w:t>Principal I</w:t>
      </w:r>
      <w:r w:rsidRPr="003C5180">
        <w:t>nvestigator, or one of the qualified clinicians</w:t>
      </w:r>
      <w:r w:rsidR="00DE6944" w:rsidRPr="003C5180">
        <w:t xml:space="preserve"> involved in the </w:t>
      </w:r>
      <w:r w:rsidRPr="003C5180">
        <w:t>study as Clinical Co-investigator</w:t>
      </w:r>
      <w:r w:rsidR="00D97DB4">
        <w:t>s</w:t>
      </w:r>
      <w:r w:rsidRPr="003C5180">
        <w:t xml:space="preserve">.  </w:t>
      </w:r>
      <w:r w:rsidR="00D43148" w:rsidRPr="003C5180">
        <w:t xml:space="preserve">These may be medical or nursing staff. </w:t>
      </w:r>
    </w:p>
    <w:p w14:paraId="1412C0BB" w14:textId="77777777" w:rsidR="001F3B23" w:rsidRPr="003C5180" w:rsidRDefault="001F3B23" w:rsidP="007F6710">
      <w:r w:rsidRPr="003C5180">
        <w:t xml:space="preserve">132 participants will be recruited from </w:t>
      </w:r>
      <w:r w:rsidR="00E153A6">
        <w:t>suitable participating</w:t>
      </w:r>
      <w:r w:rsidR="00E153A6" w:rsidRPr="003C5180">
        <w:t xml:space="preserve"> </w:t>
      </w:r>
      <w:r w:rsidRPr="003C5180">
        <w:t>sites</w:t>
      </w:r>
      <w:r w:rsidR="001A0852">
        <w:t>.</w:t>
      </w:r>
    </w:p>
    <w:p w14:paraId="2E787178" w14:textId="783444E0" w:rsidR="00D43148" w:rsidRDefault="00D43148" w:rsidP="00D43148">
      <w:r w:rsidRPr="003C5180">
        <w:t xml:space="preserve">A variety of recruitment strategies will be used to recruit eligible participants. </w:t>
      </w:r>
      <w:r w:rsidR="005138B0">
        <w:t xml:space="preserve">If babies are still on the neonatal unit the clinical team will identify potentially eligible babies and will check that families of these infants are happy to meet the research team to discuss the study. </w:t>
      </w:r>
      <w:r w:rsidRPr="003C5180">
        <w:t xml:space="preserve">Parents </w:t>
      </w:r>
      <w:r w:rsidR="005138B0">
        <w:t xml:space="preserve">will then </w:t>
      </w:r>
      <w:r w:rsidRPr="003C5180">
        <w:t xml:space="preserve">be approached </w:t>
      </w:r>
      <w:r w:rsidR="009A1590">
        <w:t xml:space="preserve">to </w:t>
      </w:r>
      <w:r w:rsidRPr="003C5180">
        <w:t>discuss the study and be offered the chance of participation. There will be posters and leaflets about the study on the neonatal unit, in neonatal clinic waiting rooms and in the hospital more generally. Some units may choose to advertise the study on institutional websites or newsletters, or on posters in the community (e.g. in GP practices). Parents of recently discharged infan</w:t>
      </w:r>
      <w:r w:rsidR="0038422D" w:rsidRPr="003C5180">
        <w:t>ts may be contacted by letter,</w:t>
      </w:r>
      <w:r w:rsidRPr="003C5180">
        <w:t xml:space="preserve"> email</w:t>
      </w:r>
      <w:r w:rsidR="0038422D" w:rsidRPr="003C5180">
        <w:t xml:space="preserve"> or phone</w:t>
      </w:r>
      <w:r w:rsidRPr="003C5180">
        <w:t xml:space="preserve"> informing them of the study. </w:t>
      </w:r>
      <w:r w:rsidR="005138B0">
        <w:t xml:space="preserve"> In this instance the information packs will be provided by the research team, but the patient details will be accessed by the direct care team and the packs despatched by them.</w:t>
      </w:r>
      <w:r w:rsidR="008C2FD0">
        <w:t xml:space="preserve"> We will have a twitter account to allow parents to follow the progress of the study, although this will not be used explicitly for recruitment. </w:t>
      </w:r>
    </w:p>
    <w:p w14:paraId="5DA5D086" w14:textId="77777777" w:rsidR="00131081" w:rsidRPr="003C5180" w:rsidRDefault="004571CC" w:rsidP="008B45E8">
      <w:pPr>
        <w:pStyle w:val="Heading1"/>
        <w:numPr>
          <w:ilvl w:val="0"/>
          <w:numId w:val="21"/>
        </w:numPr>
        <w:rPr>
          <w:rFonts w:ascii="Calibri" w:hAnsi="Calibri"/>
          <w:szCs w:val="28"/>
        </w:rPr>
      </w:pPr>
      <w:bookmarkStart w:id="65" w:name="_Toc470102474"/>
      <w:bookmarkStart w:id="66" w:name="_Toc261532672"/>
      <w:r w:rsidRPr="003C5180">
        <w:rPr>
          <w:rFonts w:ascii="Calibri" w:hAnsi="Calibri"/>
          <w:szCs w:val="28"/>
        </w:rPr>
        <w:t>Study procedures</w:t>
      </w:r>
      <w:bookmarkEnd w:id="65"/>
      <w:r w:rsidRPr="003C5180">
        <w:rPr>
          <w:rFonts w:ascii="Calibri" w:hAnsi="Calibri"/>
          <w:szCs w:val="28"/>
        </w:rPr>
        <w:t xml:space="preserve"> </w:t>
      </w:r>
      <w:bookmarkEnd w:id="66"/>
    </w:p>
    <w:p w14:paraId="3D3D8CE8" w14:textId="77777777" w:rsidR="004571CC" w:rsidRPr="003C5180" w:rsidRDefault="004571CC" w:rsidP="008B45E8">
      <w:pPr>
        <w:pStyle w:val="Heading2"/>
        <w:numPr>
          <w:ilvl w:val="1"/>
          <w:numId w:val="21"/>
        </w:numPr>
        <w:rPr>
          <w:rFonts w:cs="Tahoma"/>
          <w:sz w:val="24"/>
          <w:lang w:eastAsia="en-GB"/>
        </w:rPr>
      </w:pPr>
      <w:bookmarkStart w:id="67" w:name="_Toc261532673"/>
      <w:bookmarkStart w:id="68" w:name="_Toc470102475"/>
      <w:r w:rsidRPr="003C5180">
        <w:rPr>
          <w:rFonts w:cs="Tahoma"/>
          <w:sz w:val="24"/>
          <w:lang w:eastAsia="en-GB"/>
        </w:rPr>
        <w:t>Informed consent</w:t>
      </w:r>
      <w:bookmarkEnd w:id="67"/>
      <w:bookmarkEnd w:id="68"/>
    </w:p>
    <w:p w14:paraId="7D536D27" w14:textId="77777777" w:rsidR="00C84C6B" w:rsidRPr="003C5180" w:rsidRDefault="00835F99" w:rsidP="00C84C6B">
      <w:pPr>
        <w:jc w:val="both"/>
        <w:rPr>
          <w:lang w:eastAsia="en-GB"/>
        </w:rPr>
      </w:pPr>
      <w:r w:rsidRPr="003C5180">
        <w:rPr>
          <w:lang w:eastAsia="en-GB"/>
        </w:rPr>
        <w:t xml:space="preserve">Please note, </w:t>
      </w:r>
      <w:r w:rsidR="00DE6944" w:rsidRPr="003C5180">
        <w:rPr>
          <w:lang w:eastAsia="en-GB"/>
        </w:rPr>
        <w:t>i</w:t>
      </w:r>
      <w:r w:rsidR="00146B57" w:rsidRPr="003C5180">
        <w:rPr>
          <w:lang w:eastAsia="en-GB"/>
        </w:rPr>
        <w:t xml:space="preserve">t is essential that all trial personnel/staff </w:t>
      </w:r>
      <w:r w:rsidR="007746BB" w:rsidRPr="003C5180">
        <w:rPr>
          <w:lang w:eastAsia="en-GB"/>
        </w:rPr>
        <w:t xml:space="preserve">undertaking the informed </w:t>
      </w:r>
      <w:r w:rsidR="00146B57" w:rsidRPr="003C5180">
        <w:rPr>
          <w:lang w:eastAsia="en-GB"/>
        </w:rPr>
        <w:t xml:space="preserve">consent </w:t>
      </w:r>
      <w:r w:rsidR="007746BB" w:rsidRPr="003C5180">
        <w:rPr>
          <w:lang w:eastAsia="en-GB"/>
        </w:rPr>
        <w:t xml:space="preserve">process </w:t>
      </w:r>
      <w:r w:rsidR="00F864E9" w:rsidRPr="003C5180">
        <w:rPr>
          <w:lang w:eastAsia="en-GB"/>
        </w:rPr>
        <w:t>ha</w:t>
      </w:r>
      <w:r w:rsidR="00F864E9">
        <w:rPr>
          <w:lang w:eastAsia="en-GB"/>
        </w:rPr>
        <w:t>ve</w:t>
      </w:r>
      <w:r w:rsidR="00F864E9" w:rsidRPr="003C5180">
        <w:rPr>
          <w:lang w:eastAsia="en-GB"/>
        </w:rPr>
        <w:t xml:space="preserve"> </w:t>
      </w:r>
      <w:r w:rsidR="00146B57" w:rsidRPr="003C5180">
        <w:rPr>
          <w:lang w:eastAsia="en-GB"/>
        </w:rPr>
        <w:t>sign</w:t>
      </w:r>
      <w:r w:rsidR="00344D93" w:rsidRPr="003C5180">
        <w:rPr>
          <w:lang w:eastAsia="en-GB"/>
        </w:rPr>
        <w:t>ed</w:t>
      </w:r>
      <w:r w:rsidR="00146B57" w:rsidRPr="003C5180">
        <w:rPr>
          <w:lang w:eastAsia="en-GB"/>
        </w:rPr>
        <w:t xml:space="preserve"> </w:t>
      </w:r>
      <w:r w:rsidR="00DE6944" w:rsidRPr="003C5180">
        <w:rPr>
          <w:lang w:eastAsia="en-GB"/>
        </w:rPr>
        <w:t xml:space="preserve">the </w:t>
      </w:r>
      <w:r w:rsidR="00146B57" w:rsidRPr="003C5180">
        <w:rPr>
          <w:lang w:eastAsia="en-GB"/>
        </w:rPr>
        <w:t>Sponsor’s Delegation of Responsibilities Log</w:t>
      </w:r>
      <w:r w:rsidR="00C84C6B" w:rsidRPr="003C5180">
        <w:rPr>
          <w:lang w:eastAsia="en-GB"/>
        </w:rPr>
        <w:t xml:space="preserve"> </w:t>
      </w:r>
      <w:r w:rsidR="00344D93" w:rsidRPr="003C5180">
        <w:rPr>
          <w:lang w:eastAsia="en-GB"/>
        </w:rPr>
        <w:t xml:space="preserve">JREOLOG0004 </w:t>
      </w:r>
      <w:r w:rsidR="00C84C6B" w:rsidRPr="003C5180">
        <w:rPr>
          <w:lang w:eastAsia="en-GB"/>
        </w:rPr>
        <w:t>to ensure that the person has been delegated the responsibility by the study CI</w:t>
      </w:r>
      <w:r w:rsidR="007323DC" w:rsidRPr="003C5180">
        <w:rPr>
          <w:lang w:eastAsia="en-GB"/>
        </w:rPr>
        <w:t>/PI</w:t>
      </w:r>
      <w:r w:rsidR="00344D93" w:rsidRPr="003C5180">
        <w:rPr>
          <w:lang w:eastAsia="en-GB"/>
        </w:rPr>
        <w:t>. Al</w:t>
      </w:r>
      <w:r w:rsidR="00C84C6B" w:rsidRPr="003C5180">
        <w:rPr>
          <w:lang w:eastAsia="en-GB"/>
        </w:rPr>
        <w:t xml:space="preserve">l personnel taking informed consent </w:t>
      </w:r>
      <w:r w:rsidR="00344D93" w:rsidRPr="003C5180">
        <w:rPr>
          <w:lang w:eastAsia="en-GB"/>
        </w:rPr>
        <w:t>must be</w:t>
      </w:r>
      <w:r w:rsidR="00C84C6B" w:rsidRPr="003C5180">
        <w:rPr>
          <w:lang w:eastAsia="en-GB"/>
        </w:rPr>
        <w:t xml:space="preserve"> GCP trained. </w:t>
      </w:r>
      <w:r w:rsidR="00A77851" w:rsidRPr="003C5180">
        <w:rPr>
          <w:lang w:eastAsia="en-GB"/>
        </w:rPr>
        <w:t xml:space="preserve">Refer to Sponsor </w:t>
      </w:r>
      <w:r w:rsidR="005C4B4A" w:rsidRPr="003C5180">
        <w:rPr>
          <w:lang w:eastAsia="en-GB"/>
        </w:rPr>
        <w:t>SOP JREOSOP</w:t>
      </w:r>
      <w:r w:rsidR="00A77851" w:rsidRPr="003C5180">
        <w:rPr>
          <w:lang w:eastAsia="en-GB"/>
        </w:rPr>
        <w:t>0027</w:t>
      </w:r>
    </w:p>
    <w:p w14:paraId="048F7F50" w14:textId="77777777" w:rsidR="004A1546" w:rsidRPr="003C5180" w:rsidRDefault="00C84C6B" w:rsidP="00146B57">
      <w:pPr>
        <w:jc w:val="both"/>
        <w:rPr>
          <w:lang w:eastAsia="en-GB"/>
        </w:rPr>
      </w:pPr>
      <w:r w:rsidRPr="003C5180">
        <w:rPr>
          <w:lang w:eastAsia="en-GB"/>
        </w:rPr>
        <w:t xml:space="preserve">Informed consent </w:t>
      </w:r>
      <w:r w:rsidR="00344D93" w:rsidRPr="003C5180">
        <w:rPr>
          <w:lang w:eastAsia="en-GB"/>
        </w:rPr>
        <w:t xml:space="preserve">from </w:t>
      </w:r>
      <w:r w:rsidR="00F864E9">
        <w:rPr>
          <w:lang w:eastAsia="en-GB"/>
        </w:rPr>
        <w:t xml:space="preserve">a </w:t>
      </w:r>
      <w:r w:rsidR="00952BE4" w:rsidRPr="003C5180">
        <w:rPr>
          <w:lang w:eastAsia="en-GB"/>
        </w:rPr>
        <w:t>parent or guardian</w:t>
      </w:r>
      <w:r w:rsidR="00AB3D2F" w:rsidRPr="003C5180">
        <w:rPr>
          <w:lang w:eastAsia="en-GB"/>
        </w:rPr>
        <w:t xml:space="preserve"> </w:t>
      </w:r>
      <w:r w:rsidRPr="003C5180">
        <w:rPr>
          <w:lang w:eastAsia="en-GB"/>
        </w:rPr>
        <w:t xml:space="preserve">must be obtained </w:t>
      </w:r>
      <w:r w:rsidR="00AB3D2F" w:rsidRPr="003C5180">
        <w:rPr>
          <w:lang w:eastAsia="en-GB"/>
        </w:rPr>
        <w:t xml:space="preserve">following explanation of the aims, methods, benefits and potential hazards of the trial and </w:t>
      </w:r>
      <w:r w:rsidRPr="003C5180">
        <w:rPr>
          <w:lang w:eastAsia="en-GB"/>
        </w:rPr>
        <w:t xml:space="preserve">before any </w:t>
      </w:r>
      <w:r w:rsidR="00F864E9" w:rsidRPr="003C5180">
        <w:rPr>
          <w:lang w:eastAsia="en-GB"/>
        </w:rPr>
        <w:t>trial</w:t>
      </w:r>
      <w:r w:rsidR="00F864E9">
        <w:rPr>
          <w:lang w:eastAsia="en-GB"/>
        </w:rPr>
        <w:t>-</w:t>
      </w:r>
      <w:r w:rsidR="00AB3D2F" w:rsidRPr="003C5180">
        <w:rPr>
          <w:lang w:eastAsia="en-GB"/>
        </w:rPr>
        <w:t>specific</w:t>
      </w:r>
      <w:r w:rsidRPr="003C5180">
        <w:rPr>
          <w:lang w:eastAsia="en-GB"/>
        </w:rPr>
        <w:t xml:space="preserve"> procedures are </w:t>
      </w:r>
      <w:r w:rsidR="00AB3D2F" w:rsidRPr="003C5180">
        <w:rPr>
          <w:lang w:eastAsia="en-GB"/>
        </w:rPr>
        <w:t xml:space="preserve">performed. The only procedures that may be performed in advance of written informed consent being taken are those that would have been performed on all participants in the same situation as routine clinical practice. </w:t>
      </w:r>
      <w:r w:rsidR="00952BE4" w:rsidRPr="003C5180">
        <w:rPr>
          <w:lang w:eastAsia="en-GB"/>
        </w:rPr>
        <w:t>Consent will be re-sought for babies</w:t>
      </w:r>
      <w:r w:rsidR="004F2ECA" w:rsidRPr="003C5180">
        <w:rPr>
          <w:lang w:eastAsia="en-GB"/>
        </w:rPr>
        <w:t xml:space="preserve"> </w:t>
      </w:r>
      <w:r w:rsidR="0056340A">
        <w:rPr>
          <w:lang w:eastAsia="en-GB"/>
        </w:rPr>
        <w:t>whose</w:t>
      </w:r>
      <w:r w:rsidR="004F2ECA" w:rsidRPr="003C5180">
        <w:rPr>
          <w:lang w:eastAsia="en-GB"/>
        </w:rPr>
        <w:t xml:space="preserve"> legal guardian </w:t>
      </w:r>
      <w:r w:rsidR="00F864E9">
        <w:rPr>
          <w:lang w:eastAsia="en-GB"/>
        </w:rPr>
        <w:t xml:space="preserve">has </w:t>
      </w:r>
      <w:r w:rsidR="004F2ECA" w:rsidRPr="003C5180">
        <w:rPr>
          <w:lang w:eastAsia="en-GB"/>
        </w:rPr>
        <w:t>chan</w:t>
      </w:r>
      <w:r w:rsidR="00952BE4" w:rsidRPr="003C5180">
        <w:rPr>
          <w:lang w:eastAsia="en-GB"/>
        </w:rPr>
        <w:t>ge</w:t>
      </w:r>
      <w:r w:rsidR="00F864E9">
        <w:rPr>
          <w:lang w:eastAsia="en-GB"/>
        </w:rPr>
        <w:t>d</w:t>
      </w:r>
      <w:r w:rsidR="00952BE4" w:rsidRPr="003C5180">
        <w:rPr>
          <w:lang w:eastAsia="en-GB"/>
        </w:rPr>
        <w:t xml:space="preserve">. </w:t>
      </w:r>
    </w:p>
    <w:p w14:paraId="1013C335" w14:textId="77777777" w:rsidR="00AB3D2F" w:rsidRPr="003C5180" w:rsidRDefault="00ED5C71" w:rsidP="00ED5C71">
      <w:pPr>
        <w:jc w:val="both"/>
        <w:rPr>
          <w:lang w:eastAsia="en-GB"/>
        </w:rPr>
      </w:pPr>
      <w:r w:rsidRPr="003C5180">
        <w:rPr>
          <w:lang w:eastAsia="en-GB"/>
        </w:rPr>
        <w:t xml:space="preserve">Consent can be taken by any </w:t>
      </w:r>
      <w:r w:rsidR="0056340A">
        <w:rPr>
          <w:lang w:eastAsia="en-GB"/>
        </w:rPr>
        <w:t xml:space="preserve">member of the </w:t>
      </w:r>
      <w:r w:rsidRPr="003C5180">
        <w:rPr>
          <w:lang w:eastAsia="en-GB"/>
        </w:rPr>
        <w:t xml:space="preserve">medical or nursing staff who </w:t>
      </w:r>
      <w:r w:rsidR="0056340A">
        <w:rPr>
          <w:lang w:eastAsia="en-GB"/>
        </w:rPr>
        <w:t>is</w:t>
      </w:r>
      <w:r w:rsidR="0056340A" w:rsidRPr="003C5180">
        <w:rPr>
          <w:lang w:eastAsia="en-GB"/>
        </w:rPr>
        <w:t xml:space="preserve"> </w:t>
      </w:r>
      <w:r w:rsidRPr="003C5180">
        <w:rPr>
          <w:lang w:eastAsia="en-GB"/>
        </w:rPr>
        <w:t xml:space="preserve">in possession of </w:t>
      </w:r>
      <w:r w:rsidR="0056340A">
        <w:rPr>
          <w:lang w:eastAsia="en-GB"/>
        </w:rPr>
        <w:t>an up to date</w:t>
      </w:r>
      <w:r w:rsidR="0056340A" w:rsidRPr="003C5180">
        <w:rPr>
          <w:lang w:eastAsia="en-GB"/>
        </w:rPr>
        <w:t xml:space="preserve"> </w:t>
      </w:r>
      <w:r w:rsidRPr="003C5180">
        <w:rPr>
          <w:lang w:eastAsia="en-GB"/>
        </w:rPr>
        <w:t xml:space="preserve">GCP qualification and who </w:t>
      </w:r>
      <w:r w:rsidR="0056340A" w:rsidRPr="003C5180">
        <w:rPr>
          <w:lang w:eastAsia="en-GB"/>
        </w:rPr>
        <w:t>ha</w:t>
      </w:r>
      <w:r w:rsidR="0056340A">
        <w:rPr>
          <w:lang w:eastAsia="en-GB"/>
        </w:rPr>
        <w:t>s</w:t>
      </w:r>
      <w:r w:rsidR="0056340A" w:rsidRPr="003C5180">
        <w:rPr>
          <w:lang w:eastAsia="en-GB"/>
        </w:rPr>
        <w:t xml:space="preserve"> </w:t>
      </w:r>
      <w:r w:rsidRPr="003C5180">
        <w:rPr>
          <w:lang w:eastAsia="en-GB"/>
        </w:rPr>
        <w:t xml:space="preserve">been trained on the specifics of this study. Informed consent will be taken after the parents have had </w:t>
      </w:r>
      <w:r w:rsidR="0056340A">
        <w:rPr>
          <w:lang w:eastAsia="en-GB"/>
        </w:rPr>
        <w:t>sufficient</w:t>
      </w:r>
      <w:r w:rsidR="0056340A" w:rsidRPr="003C5180">
        <w:rPr>
          <w:lang w:eastAsia="en-GB"/>
        </w:rPr>
        <w:t xml:space="preserve"> </w:t>
      </w:r>
      <w:r w:rsidRPr="003C5180">
        <w:rPr>
          <w:lang w:eastAsia="en-GB"/>
        </w:rPr>
        <w:t xml:space="preserve">opportunity to read the information and ask questions about the study. </w:t>
      </w:r>
      <w:r w:rsidR="00952BE4" w:rsidRPr="003C5180">
        <w:rPr>
          <w:lang w:eastAsia="en-GB"/>
        </w:rPr>
        <w:t xml:space="preserve">There is no time limit on the period between receiving information and consenting to the study providing that the parents feel they have had all their questions answered. </w:t>
      </w:r>
      <w:r w:rsidR="00EC57AE">
        <w:rPr>
          <w:lang w:eastAsia="en-GB"/>
        </w:rPr>
        <w:t xml:space="preserve">Screening for eligibility and informed consent can take place at the initial contact with parents </w:t>
      </w:r>
      <w:r w:rsidR="00356399">
        <w:rPr>
          <w:lang w:eastAsia="en-GB"/>
        </w:rPr>
        <w:t>i</w:t>
      </w:r>
      <w:r w:rsidR="00EC57AE">
        <w:rPr>
          <w:lang w:eastAsia="en-GB"/>
        </w:rPr>
        <w:t xml:space="preserve">f they feel they have had sufficient </w:t>
      </w:r>
      <w:r w:rsidR="003034F0">
        <w:rPr>
          <w:lang w:eastAsia="en-GB"/>
        </w:rPr>
        <w:t>time to consider the study</w:t>
      </w:r>
      <w:r w:rsidR="0056340A">
        <w:rPr>
          <w:lang w:eastAsia="en-GB"/>
        </w:rPr>
        <w:t>,</w:t>
      </w:r>
      <w:r w:rsidR="003034F0">
        <w:rPr>
          <w:lang w:eastAsia="en-GB"/>
        </w:rPr>
        <w:t xml:space="preserve"> or can take place at the first visit (V1).</w:t>
      </w:r>
    </w:p>
    <w:p w14:paraId="613482FF" w14:textId="77777777" w:rsidR="00C30506" w:rsidRPr="003C5180" w:rsidRDefault="00C30506" w:rsidP="003D4F92">
      <w:pPr>
        <w:jc w:val="both"/>
        <w:rPr>
          <w:lang w:eastAsia="en-GB"/>
        </w:rPr>
      </w:pPr>
      <w:r w:rsidRPr="003C5180">
        <w:rPr>
          <w:lang w:eastAsia="en-GB"/>
        </w:rPr>
        <w:t xml:space="preserve">The Investigator or designee will explain that the </w:t>
      </w:r>
      <w:r w:rsidR="00FE22B4" w:rsidRPr="003C5180">
        <w:rPr>
          <w:lang w:eastAsia="en-GB"/>
        </w:rPr>
        <w:t>pa</w:t>
      </w:r>
      <w:r w:rsidR="00FE22B4">
        <w:rPr>
          <w:lang w:eastAsia="en-GB"/>
        </w:rPr>
        <w:t>r</w:t>
      </w:r>
      <w:r w:rsidR="00FE22B4" w:rsidRPr="003C5180">
        <w:rPr>
          <w:lang w:eastAsia="en-GB"/>
        </w:rPr>
        <w:t xml:space="preserve">ents </w:t>
      </w:r>
      <w:r w:rsidRPr="003C5180">
        <w:rPr>
          <w:lang w:eastAsia="en-GB"/>
        </w:rPr>
        <w:t xml:space="preserve">are under no obligation to </w:t>
      </w:r>
      <w:r w:rsidR="0056340A">
        <w:rPr>
          <w:lang w:eastAsia="en-GB"/>
        </w:rPr>
        <w:t xml:space="preserve">have their infant </w:t>
      </w:r>
      <w:r w:rsidRPr="003C5180">
        <w:rPr>
          <w:lang w:eastAsia="en-GB"/>
        </w:rPr>
        <w:t xml:space="preserve">enter the trial and that they can withdraw </w:t>
      </w:r>
      <w:r w:rsidR="0056340A">
        <w:rPr>
          <w:lang w:eastAsia="en-GB"/>
        </w:rPr>
        <w:t xml:space="preserve">their consent </w:t>
      </w:r>
      <w:r w:rsidRPr="003C5180">
        <w:rPr>
          <w:lang w:eastAsia="en-GB"/>
        </w:rPr>
        <w:t>at any time during the trial, without having to give a reason.</w:t>
      </w:r>
    </w:p>
    <w:p w14:paraId="36925A10" w14:textId="17B61523" w:rsidR="003D4F92" w:rsidRPr="003C5180" w:rsidRDefault="00C30506" w:rsidP="003D4F92">
      <w:pPr>
        <w:jc w:val="both"/>
        <w:rPr>
          <w:lang w:eastAsia="en-GB"/>
        </w:rPr>
      </w:pPr>
      <w:r w:rsidRPr="003C5180">
        <w:rPr>
          <w:lang w:eastAsia="en-GB"/>
        </w:rPr>
        <w:t xml:space="preserve">A copy of the signed Informed Consent </w:t>
      </w:r>
      <w:r w:rsidR="003D4F92" w:rsidRPr="003C5180">
        <w:rPr>
          <w:lang w:eastAsia="en-GB"/>
        </w:rPr>
        <w:t>Form (ICF) along with a copy of the most recent approved</w:t>
      </w:r>
      <w:r w:rsidR="0056340A">
        <w:rPr>
          <w:lang w:eastAsia="en-GB"/>
        </w:rPr>
        <w:t xml:space="preserve"> </w:t>
      </w:r>
      <w:r w:rsidR="0056340A" w:rsidRPr="003C5180">
        <w:rPr>
          <w:lang w:eastAsia="en-GB"/>
        </w:rPr>
        <w:t>Pa</w:t>
      </w:r>
      <w:r w:rsidR="0056340A">
        <w:rPr>
          <w:lang w:eastAsia="en-GB"/>
        </w:rPr>
        <w:t>r</w:t>
      </w:r>
      <w:r w:rsidR="0056340A" w:rsidRPr="003C5180">
        <w:rPr>
          <w:lang w:eastAsia="en-GB"/>
        </w:rPr>
        <w:t xml:space="preserve">ent </w:t>
      </w:r>
      <w:r w:rsidR="003D4F92" w:rsidRPr="003C5180">
        <w:rPr>
          <w:lang w:eastAsia="en-GB"/>
        </w:rPr>
        <w:t xml:space="preserve">Information Sheet (PIS) </w:t>
      </w:r>
      <w:r w:rsidRPr="003C5180">
        <w:rPr>
          <w:lang w:eastAsia="en-GB"/>
        </w:rPr>
        <w:t xml:space="preserve">will be given to the </w:t>
      </w:r>
      <w:r w:rsidR="00FE22B4">
        <w:rPr>
          <w:lang w:eastAsia="en-GB"/>
        </w:rPr>
        <w:t>parent</w:t>
      </w:r>
      <w:bookmarkStart w:id="69" w:name="OLE_LINK42"/>
      <w:bookmarkStart w:id="70" w:name="OLE_LINK43"/>
      <w:r w:rsidR="0056340A">
        <w:rPr>
          <w:lang w:eastAsia="en-GB"/>
        </w:rPr>
        <w:t>/guardian</w:t>
      </w:r>
      <w:bookmarkEnd w:id="69"/>
      <w:bookmarkEnd w:id="70"/>
      <w:r w:rsidR="00FE22B4">
        <w:rPr>
          <w:lang w:eastAsia="en-GB"/>
        </w:rPr>
        <w:t xml:space="preserve"> of the study participant</w:t>
      </w:r>
      <w:r w:rsidRPr="003C5180">
        <w:rPr>
          <w:lang w:eastAsia="en-GB"/>
        </w:rPr>
        <w:t xml:space="preserve">.  </w:t>
      </w:r>
      <w:r w:rsidR="0056340A">
        <w:rPr>
          <w:lang w:eastAsia="en-GB"/>
        </w:rPr>
        <w:t>The</w:t>
      </w:r>
      <w:r w:rsidR="0056340A" w:rsidRPr="003C5180">
        <w:rPr>
          <w:lang w:eastAsia="en-GB"/>
        </w:rPr>
        <w:t xml:space="preserve"> </w:t>
      </w:r>
      <w:r w:rsidRPr="003C5180">
        <w:rPr>
          <w:lang w:eastAsia="en-GB"/>
        </w:rPr>
        <w:t xml:space="preserve">original signed </w:t>
      </w:r>
      <w:r w:rsidR="0056340A">
        <w:rPr>
          <w:lang w:eastAsia="en-GB"/>
        </w:rPr>
        <w:t>and</w:t>
      </w:r>
      <w:r w:rsidR="0056340A" w:rsidRPr="003C5180">
        <w:rPr>
          <w:lang w:eastAsia="en-GB"/>
        </w:rPr>
        <w:t xml:space="preserve"> </w:t>
      </w:r>
      <w:r w:rsidR="00D77AD7" w:rsidRPr="003C5180">
        <w:rPr>
          <w:lang w:eastAsia="en-GB"/>
        </w:rPr>
        <w:t xml:space="preserve">dated </w:t>
      </w:r>
      <w:r w:rsidR="008454DA" w:rsidRPr="003C5180">
        <w:rPr>
          <w:lang w:eastAsia="en-GB"/>
        </w:rPr>
        <w:t xml:space="preserve">consent </w:t>
      </w:r>
      <w:r w:rsidRPr="003C5180">
        <w:rPr>
          <w:lang w:eastAsia="en-GB"/>
        </w:rPr>
        <w:t xml:space="preserve">form will be retained </w:t>
      </w:r>
      <w:r w:rsidR="00D77AD7" w:rsidRPr="003C5180">
        <w:rPr>
          <w:lang w:eastAsia="en-GB"/>
        </w:rPr>
        <w:t xml:space="preserve">in the </w:t>
      </w:r>
      <w:r w:rsidR="00E153A6">
        <w:rPr>
          <w:lang w:eastAsia="en-GB"/>
        </w:rPr>
        <w:t>site file</w:t>
      </w:r>
      <w:r w:rsidR="00BF3D3E">
        <w:rPr>
          <w:lang w:eastAsia="en-GB"/>
        </w:rPr>
        <w:t>,</w:t>
      </w:r>
      <w:r w:rsidR="00AF0475">
        <w:rPr>
          <w:lang w:eastAsia="en-GB"/>
        </w:rPr>
        <w:t xml:space="preserve"> </w:t>
      </w:r>
      <w:r w:rsidR="00D77AD7" w:rsidRPr="003C5180">
        <w:rPr>
          <w:lang w:eastAsia="en-GB"/>
        </w:rPr>
        <w:t xml:space="preserve">and a copy will be placed in the </w:t>
      </w:r>
      <w:r w:rsidR="00E153A6">
        <w:rPr>
          <w:lang w:eastAsia="en-GB"/>
        </w:rPr>
        <w:t>medical notes along with the corresponding version of the PIS</w:t>
      </w:r>
      <w:r w:rsidR="008454DA" w:rsidRPr="003C5180">
        <w:rPr>
          <w:lang w:eastAsia="en-GB"/>
        </w:rPr>
        <w:t>.</w:t>
      </w:r>
    </w:p>
    <w:p w14:paraId="2795E118" w14:textId="77777777" w:rsidR="00146B57" w:rsidRPr="003C5180" w:rsidRDefault="00C30506" w:rsidP="003D4F92">
      <w:pPr>
        <w:jc w:val="both"/>
        <w:rPr>
          <w:lang w:eastAsia="en-GB"/>
        </w:rPr>
      </w:pPr>
      <w:r w:rsidRPr="003C5180">
        <w:rPr>
          <w:lang w:eastAsia="en-GB"/>
        </w:rPr>
        <w:t xml:space="preserve">If new safety information results in significant changes </w:t>
      </w:r>
      <w:r w:rsidR="008454DA" w:rsidRPr="003C5180">
        <w:rPr>
          <w:lang w:eastAsia="en-GB"/>
        </w:rPr>
        <w:t>to</w:t>
      </w:r>
      <w:r w:rsidRPr="003C5180">
        <w:rPr>
          <w:lang w:eastAsia="en-GB"/>
        </w:rPr>
        <w:t xml:space="preserve"> the risk–benefit assessment, the consent form will be reviewed and updated if necessary. </w:t>
      </w:r>
      <w:r w:rsidR="0056340A">
        <w:rPr>
          <w:lang w:eastAsia="en-GB"/>
        </w:rPr>
        <w:t>Parents/guardians of a</w:t>
      </w:r>
      <w:r w:rsidR="0056340A" w:rsidRPr="003C5180">
        <w:rPr>
          <w:lang w:eastAsia="en-GB"/>
        </w:rPr>
        <w:t xml:space="preserve">ll </w:t>
      </w:r>
      <w:r w:rsidR="00D77AD7" w:rsidRPr="003C5180">
        <w:rPr>
          <w:lang w:eastAsia="en-GB"/>
        </w:rPr>
        <w:t>participants</w:t>
      </w:r>
      <w:r w:rsidRPr="003C5180">
        <w:rPr>
          <w:lang w:eastAsia="en-GB"/>
        </w:rPr>
        <w:t xml:space="preserve">, including </w:t>
      </w:r>
      <w:r w:rsidR="0056340A">
        <w:rPr>
          <w:lang w:eastAsia="en-GB"/>
        </w:rPr>
        <w:t xml:space="preserve">of </w:t>
      </w:r>
      <w:r w:rsidRPr="003C5180">
        <w:rPr>
          <w:lang w:eastAsia="en-GB"/>
        </w:rPr>
        <w:t xml:space="preserve">those already </w:t>
      </w:r>
      <w:r w:rsidR="0056340A">
        <w:rPr>
          <w:lang w:eastAsia="en-GB"/>
        </w:rPr>
        <w:t>enrolled in the study</w:t>
      </w:r>
      <w:r w:rsidRPr="003C5180">
        <w:rPr>
          <w:lang w:eastAsia="en-GB"/>
        </w:rPr>
        <w:t xml:space="preserve">, will be informed of the </w:t>
      </w:r>
      <w:r w:rsidR="0056340A">
        <w:rPr>
          <w:lang w:eastAsia="en-GB"/>
        </w:rPr>
        <w:t xml:space="preserve">relevant </w:t>
      </w:r>
      <w:r w:rsidRPr="003C5180">
        <w:rPr>
          <w:lang w:eastAsia="en-GB"/>
        </w:rPr>
        <w:t xml:space="preserve">new information, given a copy of the revised </w:t>
      </w:r>
      <w:r w:rsidR="008454DA" w:rsidRPr="003C5180">
        <w:rPr>
          <w:lang w:eastAsia="en-GB"/>
        </w:rPr>
        <w:t xml:space="preserve">consent </w:t>
      </w:r>
      <w:r w:rsidRPr="003C5180">
        <w:rPr>
          <w:lang w:eastAsia="en-GB"/>
        </w:rPr>
        <w:t>form</w:t>
      </w:r>
      <w:r w:rsidR="0056340A">
        <w:rPr>
          <w:lang w:eastAsia="en-GB"/>
        </w:rPr>
        <w:t>,</w:t>
      </w:r>
      <w:r w:rsidRPr="003C5180">
        <w:rPr>
          <w:lang w:eastAsia="en-GB"/>
        </w:rPr>
        <w:t xml:space="preserve"> and </w:t>
      </w:r>
      <w:r w:rsidR="008454DA" w:rsidRPr="003C5180">
        <w:rPr>
          <w:lang w:eastAsia="en-GB"/>
        </w:rPr>
        <w:t xml:space="preserve">asked to re-consent if they choose </w:t>
      </w:r>
      <w:r w:rsidRPr="003C5180">
        <w:rPr>
          <w:lang w:eastAsia="en-GB"/>
        </w:rPr>
        <w:t>to continue in the study.</w:t>
      </w:r>
    </w:p>
    <w:p w14:paraId="3BE921EC" w14:textId="77777777" w:rsidR="004571CC" w:rsidRPr="003C5180" w:rsidRDefault="004571CC" w:rsidP="008B45E8">
      <w:pPr>
        <w:pStyle w:val="Heading2"/>
        <w:numPr>
          <w:ilvl w:val="1"/>
          <w:numId w:val="21"/>
        </w:numPr>
        <w:rPr>
          <w:rFonts w:cs="Tahoma"/>
          <w:sz w:val="24"/>
          <w:lang w:eastAsia="en-GB"/>
        </w:rPr>
      </w:pPr>
      <w:bookmarkStart w:id="71" w:name="_Toc261532674"/>
      <w:bookmarkStart w:id="72" w:name="_Toc470102476"/>
      <w:r w:rsidRPr="003C5180">
        <w:rPr>
          <w:rFonts w:cs="Tahoma"/>
          <w:sz w:val="24"/>
          <w:lang w:eastAsia="en-GB"/>
        </w:rPr>
        <w:t>Randomisation procedure</w:t>
      </w:r>
      <w:bookmarkEnd w:id="71"/>
      <w:bookmarkEnd w:id="72"/>
    </w:p>
    <w:p w14:paraId="79C72A28" w14:textId="5CB44EBC" w:rsidR="002F77E5" w:rsidRPr="003C5180" w:rsidRDefault="002F77E5" w:rsidP="003516E4">
      <w:pPr>
        <w:jc w:val="both"/>
        <w:rPr>
          <w:lang w:eastAsia="en-GB"/>
        </w:rPr>
      </w:pPr>
      <w:r>
        <w:rPr>
          <w:lang w:eastAsia="en-GB"/>
        </w:rPr>
        <w:t>Two</w:t>
      </w:r>
      <w:r w:rsidRPr="003C5180">
        <w:rPr>
          <w:lang w:eastAsia="en-GB"/>
        </w:rPr>
        <w:t xml:space="preserve"> computerised block randomisation list</w:t>
      </w:r>
      <w:r>
        <w:rPr>
          <w:lang w:eastAsia="en-GB"/>
        </w:rPr>
        <w:t>s</w:t>
      </w:r>
      <w:r w:rsidRPr="003C5180">
        <w:rPr>
          <w:lang w:eastAsia="en-GB"/>
        </w:rPr>
        <w:t xml:space="preserve"> </w:t>
      </w:r>
      <w:r>
        <w:rPr>
          <w:lang w:eastAsia="en-GB"/>
        </w:rPr>
        <w:t>(one for gestational age</w:t>
      </w:r>
      <w:r w:rsidR="00D96728">
        <w:rPr>
          <w:lang w:eastAsia="en-GB"/>
        </w:rPr>
        <w:t xml:space="preserve"> </w:t>
      </w:r>
      <w:r>
        <w:rPr>
          <w:lang w:eastAsia="en-GB"/>
        </w:rPr>
        <w:t>&lt;30 weeks and one for 30-3</w:t>
      </w:r>
      <w:r w:rsidR="0065794C">
        <w:rPr>
          <w:lang w:eastAsia="en-GB"/>
        </w:rPr>
        <w:t>4+6</w:t>
      </w:r>
      <w:r>
        <w:rPr>
          <w:lang w:eastAsia="en-GB"/>
        </w:rPr>
        <w:t xml:space="preserve"> weeks) </w:t>
      </w:r>
      <w:r w:rsidRPr="003C5180">
        <w:rPr>
          <w:lang w:eastAsia="en-GB"/>
        </w:rPr>
        <w:t>will be produced by the statistician at Public Health England</w:t>
      </w:r>
      <w:r w:rsidR="00D96728">
        <w:rPr>
          <w:lang w:eastAsia="en-GB"/>
        </w:rPr>
        <w:t xml:space="preserve"> for each site. These will be placed inside</w:t>
      </w:r>
      <w:r w:rsidR="00342661">
        <w:rPr>
          <w:lang w:eastAsia="en-GB"/>
        </w:rPr>
        <w:t xml:space="preserve"> opaque envelope</w:t>
      </w:r>
      <w:r w:rsidR="00D96728">
        <w:rPr>
          <w:lang w:eastAsia="en-GB"/>
        </w:rPr>
        <w:t>s</w:t>
      </w:r>
      <w:r w:rsidR="00342661">
        <w:rPr>
          <w:lang w:eastAsia="en-GB"/>
        </w:rPr>
        <w:t xml:space="preserve"> bearing the corresponding participant number by a team of staff from SGUL who are not otherwise involved in the study. </w:t>
      </w:r>
      <w:r w:rsidRPr="003C5180">
        <w:rPr>
          <w:lang w:eastAsia="en-GB"/>
        </w:rPr>
        <w:t xml:space="preserve">Each centre will be </w:t>
      </w:r>
      <w:r w:rsidR="00342661">
        <w:rPr>
          <w:lang w:eastAsia="en-GB"/>
        </w:rPr>
        <w:t>provided with the necessary envelopes</w:t>
      </w:r>
      <w:r w:rsidR="00B7587A">
        <w:rPr>
          <w:lang w:eastAsia="en-GB"/>
        </w:rPr>
        <w:t>.</w:t>
      </w:r>
      <w:r w:rsidRPr="003C5180">
        <w:rPr>
          <w:lang w:eastAsia="en-GB"/>
        </w:rPr>
        <w:t xml:space="preserve"> On recruitment to the study, each </w:t>
      </w:r>
      <w:r w:rsidR="00342661">
        <w:rPr>
          <w:lang w:eastAsia="en-GB"/>
        </w:rPr>
        <w:t>participant</w:t>
      </w:r>
      <w:r w:rsidRPr="003C5180">
        <w:rPr>
          <w:lang w:eastAsia="en-GB"/>
        </w:rPr>
        <w:t xml:space="preserve"> will be allocated, in order of inclusion, the next available </w:t>
      </w:r>
      <w:r w:rsidR="00342661">
        <w:rPr>
          <w:lang w:eastAsia="en-GB"/>
        </w:rPr>
        <w:t>participant</w:t>
      </w:r>
      <w:r w:rsidR="00342661" w:rsidRPr="003C5180">
        <w:rPr>
          <w:lang w:eastAsia="en-GB"/>
        </w:rPr>
        <w:t xml:space="preserve"> </w:t>
      </w:r>
      <w:r w:rsidRPr="003C5180">
        <w:rPr>
          <w:lang w:eastAsia="en-GB"/>
        </w:rPr>
        <w:t>number</w:t>
      </w:r>
      <w:r>
        <w:rPr>
          <w:lang w:eastAsia="en-GB"/>
        </w:rPr>
        <w:t xml:space="preserve"> from the appropriate list depending on gestation</w:t>
      </w:r>
      <w:r w:rsidRPr="003C5180">
        <w:rPr>
          <w:lang w:eastAsia="en-GB"/>
        </w:rPr>
        <w:t>.</w:t>
      </w:r>
      <w:r w:rsidR="00342661">
        <w:rPr>
          <w:lang w:eastAsia="en-GB"/>
        </w:rPr>
        <w:t xml:space="preserve"> </w:t>
      </w:r>
      <w:r w:rsidR="00D96728">
        <w:rPr>
          <w:lang w:eastAsia="en-GB"/>
        </w:rPr>
        <w:t>Following informed consent and prior to the first vaccinations t</w:t>
      </w:r>
      <w:r w:rsidR="00342661">
        <w:rPr>
          <w:lang w:eastAsia="en-GB"/>
        </w:rPr>
        <w:t>he local study team will open the envelope and reveal the group number. This</w:t>
      </w:r>
      <w:r w:rsidRPr="003C5180">
        <w:rPr>
          <w:lang w:eastAsia="en-GB"/>
        </w:rPr>
        <w:t xml:space="preserve"> will define the group to which the baby is assigned and, therefore, the vaccination schedule the baby will receive. </w:t>
      </w:r>
      <w:r w:rsidR="00F65FFE" w:rsidRPr="00342442">
        <w:rPr>
          <w:b/>
          <w:lang w:eastAsia="en-GB"/>
        </w:rPr>
        <w:t>Please note- randomisation must take place at the first visit even if consent has been obtained previously.</w:t>
      </w:r>
    </w:p>
    <w:p w14:paraId="68A92F0C" w14:textId="31AB069E" w:rsidR="00FE22B4" w:rsidRDefault="00F65FFE" w:rsidP="003516E4">
      <w:pPr>
        <w:jc w:val="both"/>
        <w:rPr>
          <w:lang w:eastAsia="en-GB"/>
        </w:rPr>
      </w:pPr>
      <w:r>
        <w:rPr>
          <w:lang w:eastAsia="en-GB"/>
        </w:rPr>
        <w:t>Participants</w:t>
      </w:r>
      <w:r w:rsidR="009701F1">
        <w:rPr>
          <w:lang w:eastAsia="en-GB"/>
        </w:rPr>
        <w:t xml:space="preserve"> may be replaced if they are withdrawn from the study prior to receiving their first vaccinations. Participants</w:t>
      </w:r>
      <w:r w:rsidRPr="003C5180">
        <w:rPr>
          <w:lang w:eastAsia="en-GB"/>
        </w:rPr>
        <w:t xml:space="preserve"> </w:t>
      </w:r>
      <w:r w:rsidR="002F77E5" w:rsidRPr="003C5180">
        <w:rPr>
          <w:lang w:eastAsia="en-GB"/>
        </w:rPr>
        <w:t xml:space="preserve">will not be replaced if they </w:t>
      </w:r>
      <w:r w:rsidR="0056340A">
        <w:rPr>
          <w:lang w:eastAsia="en-GB"/>
        </w:rPr>
        <w:t xml:space="preserve">are </w:t>
      </w:r>
      <w:r w:rsidR="002F77E5" w:rsidRPr="003C5180">
        <w:rPr>
          <w:lang w:eastAsia="en-GB"/>
        </w:rPr>
        <w:t>withdraw</w:t>
      </w:r>
      <w:r w:rsidR="0056340A">
        <w:rPr>
          <w:lang w:eastAsia="en-GB"/>
        </w:rPr>
        <w:t>n</w:t>
      </w:r>
      <w:r w:rsidR="002F77E5" w:rsidRPr="003C5180">
        <w:rPr>
          <w:lang w:eastAsia="en-GB"/>
        </w:rPr>
        <w:t xml:space="preserve"> from the study</w:t>
      </w:r>
      <w:r w:rsidR="009701F1">
        <w:rPr>
          <w:lang w:eastAsia="en-GB"/>
        </w:rPr>
        <w:t xml:space="preserve"> after they have received their first vaccinations. </w:t>
      </w:r>
    </w:p>
    <w:p w14:paraId="51A08A92" w14:textId="77777777" w:rsidR="00342442" w:rsidRDefault="00342442" w:rsidP="003516E4">
      <w:pPr>
        <w:jc w:val="both"/>
        <w:rPr>
          <w:lang w:eastAsia="en-GB"/>
        </w:rPr>
      </w:pPr>
    </w:p>
    <w:p w14:paraId="1B792B16" w14:textId="77777777" w:rsidR="00342442" w:rsidRDefault="00342442" w:rsidP="003516E4">
      <w:pPr>
        <w:jc w:val="both"/>
        <w:rPr>
          <w:lang w:eastAsia="en-GB"/>
        </w:rPr>
      </w:pPr>
    </w:p>
    <w:p w14:paraId="3D7EDC91" w14:textId="77777777" w:rsidR="003516E4" w:rsidRPr="003516E4" w:rsidRDefault="003516E4" w:rsidP="003516E4">
      <w:pPr>
        <w:jc w:val="both"/>
        <w:rPr>
          <w:b/>
          <w:lang w:eastAsia="en-GB"/>
        </w:rPr>
      </w:pPr>
      <w:r w:rsidRPr="003516E4">
        <w:rPr>
          <w:b/>
          <w:lang w:eastAsia="en-GB"/>
        </w:rPr>
        <w:t>11.3 Prescribing and Dispensing of IMP</w:t>
      </w:r>
    </w:p>
    <w:p w14:paraId="46E06E28" w14:textId="09370CA8" w:rsidR="004F0B0C" w:rsidRPr="003C5180" w:rsidRDefault="00AD4946" w:rsidP="00273DF1">
      <w:pPr>
        <w:rPr>
          <w:lang w:eastAsia="en-GB"/>
        </w:rPr>
      </w:pPr>
      <w:bookmarkStart w:id="73" w:name="_Toc261532675"/>
      <w:r>
        <w:rPr>
          <w:lang w:eastAsia="en-GB"/>
        </w:rPr>
        <w:t xml:space="preserve">A study specific prescription chart will be used for this study. This </w:t>
      </w:r>
      <w:r w:rsidR="00EB48D5">
        <w:rPr>
          <w:lang w:eastAsia="en-GB"/>
        </w:rPr>
        <w:t>will</w:t>
      </w:r>
      <w:r>
        <w:rPr>
          <w:lang w:eastAsia="en-GB"/>
        </w:rPr>
        <w:t xml:space="preserve"> be provided by the lead site, or individual sites may choose to use their own prescription charts</w:t>
      </w:r>
      <w:r w:rsidR="00F412C3">
        <w:rPr>
          <w:lang w:eastAsia="en-GB"/>
        </w:rPr>
        <w:t xml:space="preserve"> and/or electronic prescribing system</w:t>
      </w:r>
      <w:r>
        <w:rPr>
          <w:lang w:eastAsia="en-GB"/>
        </w:rPr>
        <w:t>. For those pa</w:t>
      </w:r>
      <w:r w:rsidR="00F65FFE">
        <w:rPr>
          <w:lang w:eastAsia="en-GB"/>
        </w:rPr>
        <w:t>rticipants</w:t>
      </w:r>
      <w:r>
        <w:rPr>
          <w:lang w:eastAsia="en-GB"/>
        </w:rPr>
        <w:t xml:space="preserve"> who are inpatients, the vaccines will also be prescribed on their hospital prescription chart. </w:t>
      </w:r>
      <w:r w:rsidR="00273DF1" w:rsidRPr="003C5180">
        <w:rPr>
          <w:lang w:eastAsia="en-GB"/>
        </w:rPr>
        <w:t xml:space="preserve">The </w:t>
      </w:r>
      <w:r w:rsidR="00BD1406">
        <w:rPr>
          <w:lang w:eastAsia="en-GB"/>
        </w:rPr>
        <w:t xml:space="preserve">person </w:t>
      </w:r>
      <w:r w:rsidR="00273DF1" w:rsidRPr="003C5180">
        <w:rPr>
          <w:lang w:eastAsia="en-GB"/>
        </w:rPr>
        <w:t>prescrib</w:t>
      </w:r>
      <w:r w:rsidR="00BD1406">
        <w:rPr>
          <w:lang w:eastAsia="en-GB"/>
        </w:rPr>
        <w:t xml:space="preserve">ing the vaccines on the study specific prescription chart </w:t>
      </w:r>
      <w:r w:rsidR="00273DF1" w:rsidRPr="003C5180">
        <w:rPr>
          <w:lang w:eastAsia="en-GB"/>
        </w:rPr>
        <w:t xml:space="preserve"> must have been signed off by the PI on the Staff delegation of duties log JREOLOG0004 for that tas</w:t>
      </w:r>
      <w:r w:rsidR="00BD1406">
        <w:rPr>
          <w:lang w:eastAsia="en-GB"/>
        </w:rPr>
        <w:t xml:space="preserve">k, however any member of the clinical team who normally prescribes vaccines may </w:t>
      </w:r>
      <w:r w:rsidR="00CE5C76">
        <w:rPr>
          <w:lang w:eastAsia="en-GB"/>
        </w:rPr>
        <w:t>tran</w:t>
      </w:r>
      <w:r w:rsidR="00BD1406">
        <w:rPr>
          <w:lang w:eastAsia="en-GB"/>
        </w:rPr>
        <w:t>scribe on the hospital prescription chart without being on the delegation log. A</w:t>
      </w:r>
      <w:r w:rsidR="006D6477" w:rsidRPr="003C5180">
        <w:rPr>
          <w:lang w:eastAsia="en-GB"/>
        </w:rPr>
        <w:t xml:space="preserve"> sample signature of all delegated prescribers must be provided for the Pharmacy Site File prior to receipt of the 1st trial prescription.</w:t>
      </w:r>
    </w:p>
    <w:p w14:paraId="2AEED950" w14:textId="77777777" w:rsidR="00257A9E" w:rsidRPr="003C5180" w:rsidRDefault="00257A9E" w:rsidP="00273DF1">
      <w:pPr>
        <w:rPr>
          <w:lang w:eastAsia="en-GB"/>
        </w:rPr>
      </w:pPr>
      <w:r w:rsidRPr="003C5180">
        <w:rPr>
          <w:lang w:eastAsia="en-GB"/>
        </w:rPr>
        <w:t>Vaccines will be obtained by individual sites from national stock using the ImmForm system or any other system used locally</w:t>
      </w:r>
      <w:r w:rsidR="00844EA9">
        <w:t>.</w:t>
      </w:r>
      <w:r w:rsidR="00844EA9" w:rsidRPr="003C5180">
        <w:rPr>
          <w:lang w:eastAsia="en-GB"/>
        </w:rPr>
        <w:t xml:space="preserve"> </w:t>
      </w:r>
      <w:r w:rsidR="0038422D" w:rsidRPr="003C5180">
        <w:rPr>
          <w:lang w:eastAsia="en-GB"/>
        </w:rPr>
        <w:t xml:space="preserve">Vaccines may be stored by sites in either a hospital or research pharmacy </w:t>
      </w:r>
      <w:r w:rsidR="00AD4946">
        <w:rPr>
          <w:lang w:eastAsia="en-GB"/>
        </w:rPr>
        <w:t xml:space="preserve">or in an appropriately monitored fridge in the </w:t>
      </w:r>
      <w:r w:rsidR="00B203ED">
        <w:rPr>
          <w:lang w:eastAsia="en-GB"/>
        </w:rPr>
        <w:t xml:space="preserve">clinical </w:t>
      </w:r>
      <w:r w:rsidR="00AD4946">
        <w:rPr>
          <w:lang w:eastAsia="en-GB"/>
        </w:rPr>
        <w:t xml:space="preserve">research </w:t>
      </w:r>
      <w:r w:rsidR="00B203ED">
        <w:rPr>
          <w:lang w:eastAsia="en-GB"/>
        </w:rPr>
        <w:t>site</w:t>
      </w:r>
      <w:r w:rsidR="00AD4946">
        <w:rPr>
          <w:lang w:eastAsia="en-GB"/>
        </w:rPr>
        <w:t xml:space="preserve">. </w:t>
      </w:r>
    </w:p>
    <w:bookmarkEnd w:id="73"/>
    <w:p w14:paraId="2813914E" w14:textId="77777777" w:rsidR="00F20E5F" w:rsidRPr="001A0852" w:rsidRDefault="008B45E8" w:rsidP="00BD1825">
      <w:pPr>
        <w:jc w:val="both"/>
        <w:rPr>
          <w:b/>
          <w:sz w:val="24"/>
        </w:rPr>
      </w:pPr>
      <w:r w:rsidRPr="001A0852">
        <w:rPr>
          <w:b/>
          <w:sz w:val="24"/>
        </w:rPr>
        <w:t>11</w:t>
      </w:r>
      <w:r w:rsidR="00E31FF1" w:rsidRPr="001A0852">
        <w:rPr>
          <w:b/>
          <w:sz w:val="24"/>
        </w:rPr>
        <w:t>.</w:t>
      </w:r>
      <w:r w:rsidR="00FE22B4" w:rsidRPr="001A0852">
        <w:rPr>
          <w:b/>
          <w:sz w:val="24"/>
        </w:rPr>
        <w:t xml:space="preserve">4 </w:t>
      </w:r>
      <w:r w:rsidR="00E31FF1" w:rsidRPr="001A0852">
        <w:rPr>
          <w:b/>
          <w:sz w:val="24"/>
        </w:rPr>
        <w:t>Overdose</w:t>
      </w:r>
      <w:r w:rsidR="00F20E5F" w:rsidRPr="001A0852">
        <w:rPr>
          <w:b/>
          <w:sz w:val="24"/>
        </w:rPr>
        <w:t xml:space="preserve"> of Trial medication</w:t>
      </w:r>
    </w:p>
    <w:p w14:paraId="11BA1C81" w14:textId="77777777" w:rsidR="004035D5" w:rsidRPr="003C5180" w:rsidRDefault="007857A6" w:rsidP="004035D5">
      <w:pPr>
        <w:jc w:val="both"/>
        <w:rPr>
          <w:lang w:eastAsia="en-GB"/>
        </w:rPr>
      </w:pPr>
      <w:r w:rsidRPr="003C5180">
        <w:rPr>
          <w:lang w:eastAsia="en-GB"/>
        </w:rPr>
        <w:t xml:space="preserve">In the event of an overdose of trial medication advice should be sought immediately from the PI in the institution or from the CI. </w:t>
      </w:r>
    </w:p>
    <w:p w14:paraId="2BE43910" w14:textId="77777777" w:rsidR="00F20E5F" w:rsidRPr="003C5180" w:rsidRDefault="00E31FF1" w:rsidP="00FE22B4">
      <w:pPr>
        <w:pStyle w:val="Heading2"/>
        <w:numPr>
          <w:ilvl w:val="1"/>
          <w:numId w:val="38"/>
        </w:numPr>
        <w:rPr>
          <w:sz w:val="24"/>
        </w:rPr>
      </w:pPr>
      <w:bookmarkStart w:id="74" w:name="_Ref249156157"/>
      <w:bookmarkStart w:id="75" w:name="_Toc250731298"/>
      <w:bookmarkStart w:id="76" w:name="_Toc261532685"/>
      <w:bookmarkStart w:id="77" w:name="_Toc470102477"/>
      <w:r w:rsidRPr="003C5180">
        <w:rPr>
          <w:sz w:val="24"/>
        </w:rPr>
        <w:t>Discontinuation</w:t>
      </w:r>
      <w:r w:rsidR="00F20E5F" w:rsidRPr="003C5180">
        <w:rPr>
          <w:sz w:val="24"/>
        </w:rPr>
        <w:t>/withdrawal of participants and stopping rules</w:t>
      </w:r>
      <w:bookmarkEnd w:id="74"/>
      <w:bookmarkEnd w:id="75"/>
      <w:bookmarkEnd w:id="76"/>
      <w:bookmarkEnd w:id="77"/>
    </w:p>
    <w:p w14:paraId="6D6DD721" w14:textId="6B5A3C2F" w:rsidR="00257A9E" w:rsidRDefault="00257A9E" w:rsidP="00257A9E">
      <w:pPr>
        <w:jc w:val="both"/>
        <w:rPr>
          <w:lang w:eastAsia="en-GB"/>
        </w:rPr>
      </w:pPr>
      <w:r w:rsidRPr="003C5180">
        <w:rPr>
          <w:lang w:eastAsia="en-GB"/>
        </w:rPr>
        <w:t xml:space="preserve">Because this study only involves licensed vaccines that would be routinely offered to premature infants as part of the national childhood immunisation programme, we do not foresee any reason for stopping the study prematurely. Parents/legal guardians may withdraw their infants from the study at any time without offering an explanation. </w:t>
      </w:r>
      <w:r w:rsidR="00B203ED">
        <w:rPr>
          <w:lang w:eastAsia="en-GB"/>
        </w:rPr>
        <w:t>Exceptionally, the local PI may also withdraw an individual participant if there are significant safety concerns regarding ongoing participation, though it is expected that as far possible there should have been prior discussion with the CI.  T</w:t>
      </w:r>
      <w:r w:rsidRPr="003C5180">
        <w:rPr>
          <w:lang w:eastAsia="en-GB"/>
        </w:rPr>
        <w:t xml:space="preserve">his study is powered to allow for ~10% drop out of subjects over the course of the study and withdrawn subjects will not be replaced. </w:t>
      </w:r>
      <w:r w:rsidR="002E6F48">
        <w:rPr>
          <w:lang w:eastAsia="en-GB"/>
        </w:rPr>
        <w:t xml:space="preserve">If an infant is withdrawn from the study </w:t>
      </w:r>
      <w:r w:rsidR="00DE162A">
        <w:rPr>
          <w:lang w:eastAsia="en-GB"/>
        </w:rPr>
        <w:t xml:space="preserve">permission </w:t>
      </w:r>
      <w:r w:rsidR="00B203ED">
        <w:rPr>
          <w:lang w:eastAsia="en-GB"/>
        </w:rPr>
        <w:t xml:space="preserve">will be sought </w:t>
      </w:r>
      <w:r w:rsidR="00DE162A">
        <w:rPr>
          <w:lang w:eastAsia="en-GB"/>
        </w:rPr>
        <w:t>to contact the family</w:t>
      </w:r>
      <w:r w:rsidR="002E6F48">
        <w:rPr>
          <w:lang w:eastAsia="en-GB"/>
        </w:rPr>
        <w:t xml:space="preserve"> by phone to ask about any adverse events </w:t>
      </w:r>
      <w:r w:rsidR="00B203ED">
        <w:rPr>
          <w:lang w:eastAsia="en-GB"/>
        </w:rPr>
        <w:t>1</w:t>
      </w:r>
      <w:r w:rsidR="002E6F48">
        <w:rPr>
          <w:lang w:eastAsia="en-GB"/>
        </w:rPr>
        <w:t xml:space="preserve"> month after the final study visit</w:t>
      </w:r>
      <w:r w:rsidR="00D401B0">
        <w:rPr>
          <w:lang w:eastAsia="en-GB"/>
        </w:rPr>
        <w:t xml:space="preserve"> in which IMP is administered</w:t>
      </w:r>
      <w:r w:rsidR="00B203ED">
        <w:rPr>
          <w:lang w:eastAsia="en-GB"/>
        </w:rPr>
        <w:t>,</w:t>
      </w:r>
      <w:r w:rsidR="002E6F48">
        <w:rPr>
          <w:lang w:eastAsia="en-GB"/>
        </w:rPr>
        <w:t xml:space="preserve"> and </w:t>
      </w:r>
      <w:r w:rsidR="00B203ED">
        <w:rPr>
          <w:lang w:eastAsia="en-GB"/>
        </w:rPr>
        <w:t xml:space="preserve">the parent/guardian </w:t>
      </w:r>
      <w:r w:rsidR="002E6F48">
        <w:rPr>
          <w:lang w:eastAsia="en-GB"/>
        </w:rPr>
        <w:t>will</w:t>
      </w:r>
      <w:r w:rsidR="00B203ED">
        <w:rPr>
          <w:lang w:eastAsia="en-GB"/>
        </w:rPr>
        <w:t xml:space="preserve"> also</w:t>
      </w:r>
      <w:r w:rsidR="002E6F48">
        <w:rPr>
          <w:lang w:eastAsia="en-GB"/>
        </w:rPr>
        <w:t xml:space="preserve"> </w:t>
      </w:r>
      <w:r w:rsidR="00B203ED">
        <w:rPr>
          <w:lang w:eastAsia="en-GB"/>
        </w:rPr>
        <w:t xml:space="preserve">be </w:t>
      </w:r>
      <w:r w:rsidR="002E6F48">
        <w:rPr>
          <w:lang w:eastAsia="en-GB"/>
        </w:rPr>
        <w:t>ask</w:t>
      </w:r>
      <w:r w:rsidR="00B203ED">
        <w:rPr>
          <w:lang w:eastAsia="en-GB"/>
        </w:rPr>
        <w:t>ed</w:t>
      </w:r>
      <w:r w:rsidR="002E6F48">
        <w:rPr>
          <w:lang w:eastAsia="en-GB"/>
        </w:rPr>
        <w:t xml:space="preserve"> </w:t>
      </w:r>
      <w:r w:rsidR="00B203ED">
        <w:rPr>
          <w:lang w:eastAsia="en-GB"/>
        </w:rPr>
        <w:t xml:space="preserve">if they will agree to contact </w:t>
      </w:r>
      <w:r w:rsidR="002E6F48">
        <w:rPr>
          <w:lang w:eastAsia="en-GB"/>
        </w:rPr>
        <w:t>the</w:t>
      </w:r>
      <w:r w:rsidR="00B203ED">
        <w:rPr>
          <w:lang w:eastAsia="en-GB"/>
        </w:rPr>
        <w:t xml:space="preserve"> local research team</w:t>
      </w:r>
      <w:r w:rsidR="00DE162A">
        <w:rPr>
          <w:lang w:eastAsia="en-GB"/>
        </w:rPr>
        <w:t xml:space="preserve"> </w:t>
      </w:r>
      <w:r w:rsidR="009E48D3">
        <w:rPr>
          <w:lang w:eastAsia="en-GB"/>
        </w:rPr>
        <w:t>should the</w:t>
      </w:r>
      <w:r w:rsidR="00DE162A">
        <w:rPr>
          <w:lang w:eastAsia="en-GB"/>
        </w:rPr>
        <w:t xml:space="preserve"> infant ha</w:t>
      </w:r>
      <w:r w:rsidR="009E48D3">
        <w:rPr>
          <w:lang w:eastAsia="en-GB"/>
        </w:rPr>
        <w:t>ve</w:t>
      </w:r>
      <w:r w:rsidR="00DE162A">
        <w:rPr>
          <w:lang w:eastAsia="en-GB"/>
        </w:rPr>
        <w:t xml:space="preserve"> an illness requiring medical review. </w:t>
      </w:r>
    </w:p>
    <w:p w14:paraId="29E2EF4C" w14:textId="77777777" w:rsidR="00032D21" w:rsidRPr="00D42BF6" w:rsidRDefault="00032D21" w:rsidP="00032D21">
      <w:pPr>
        <w:widowControl w:val="0"/>
        <w:autoSpaceDE w:val="0"/>
        <w:autoSpaceDN w:val="0"/>
        <w:adjustRightInd w:val="0"/>
        <w:spacing w:after="0"/>
        <w:rPr>
          <w:rFonts w:cs="Arial"/>
          <w:color w:val="000000"/>
          <w:szCs w:val="22"/>
          <w:lang w:val="en-US"/>
        </w:rPr>
      </w:pPr>
      <w:r w:rsidRPr="00D42BF6">
        <w:rPr>
          <w:rFonts w:cs="Arial"/>
          <w:color w:val="000000"/>
          <w:szCs w:val="22"/>
          <w:lang w:val="en-US"/>
        </w:rPr>
        <w:t>At all stages it will be made clear to the parents that they remain free to withdraw their baby from the trial at any time without the need to provide any reason or explanation. Parents will be made aware that a decision to withdraw their baby will have no impact on any aspect of their baby’s continuing care. If parents choose to withdraw their baby from trial participation, permission will be sought to complete data collection and use data up to the point of withdrawal from the trial.</w:t>
      </w:r>
    </w:p>
    <w:p w14:paraId="0202F614" w14:textId="77777777" w:rsidR="00032D21" w:rsidRPr="003C5180" w:rsidRDefault="00032D21" w:rsidP="00257A9E">
      <w:pPr>
        <w:jc w:val="both"/>
        <w:rPr>
          <w:lang w:eastAsia="en-GB"/>
        </w:rPr>
      </w:pPr>
    </w:p>
    <w:p w14:paraId="46A70AF9" w14:textId="77777777" w:rsidR="00CC121B" w:rsidRPr="003C5180" w:rsidRDefault="008B45E8" w:rsidP="00257A9E">
      <w:pPr>
        <w:pStyle w:val="Heading2"/>
        <w:numPr>
          <w:ilvl w:val="0"/>
          <w:numId w:val="0"/>
        </w:numPr>
        <w:rPr>
          <w:sz w:val="24"/>
        </w:rPr>
      </w:pPr>
      <w:bookmarkStart w:id="78" w:name="_Toc470102478"/>
      <w:bookmarkStart w:id="79" w:name="_Toc261532688"/>
      <w:r w:rsidRPr="003C5180">
        <w:rPr>
          <w:sz w:val="24"/>
        </w:rPr>
        <w:t>11</w:t>
      </w:r>
      <w:r w:rsidR="00C35B05" w:rsidRPr="003C5180">
        <w:rPr>
          <w:sz w:val="24"/>
        </w:rPr>
        <w:t>.</w:t>
      </w:r>
      <w:r w:rsidR="00FE22B4">
        <w:rPr>
          <w:sz w:val="24"/>
        </w:rPr>
        <w:t>6</w:t>
      </w:r>
      <w:r w:rsidR="00C35B05" w:rsidRPr="003C5180">
        <w:rPr>
          <w:sz w:val="24"/>
        </w:rPr>
        <w:t xml:space="preserve"> </w:t>
      </w:r>
      <w:r w:rsidR="00E31FF1" w:rsidRPr="003C5180">
        <w:rPr>
          <w:sz w:val="24"/>
        </w:rPr>
        <w:t>Participant</w:t>
      </w:r>
      <w:r w:rsidR="00CC121B" w:rsidRPr="003C5180">
        <w:rPr>
          <w:sz w:val="24"/>
        </w:rPr>
        <w:t xml:space="preserve"> transfers</w:t>
      </w:r>
      <w:bookmarkEnd w:id="78"/>
    </w:p>
    <w:p w14:paraId="115CC4A9" w14:textId="53BF1FA4" w:rsidR="00CC121B" w:rsidRPr="003C5180" w:rsidRDefault="00CC121B" w:rsidP="00F20E5F">
      <w:pPr>
        <w:jc w:val="both"/>
        <w:rPr>
          <w:lang w:eastAsia="en-GB"/>
        </w:rPr>
      </w:pPr>
      <w:r w:rsidRPr="003C5180">
        <w:rPr>
          <w:lang w:eastAsia="en-GB"/>
        </w:rPr>
        <w:t xml:space="preserve">If a participant moves from the area </w:t>
      </w:r>
      <w:r w:rsidR="008B140B" w:rsidRPr="003C5180">
        <w:rPr>
          <w:lang w:eastAsia="en-GB"/>
        </w:rPr>
        <w:t>every effort will be made to keep them within the study. If they move such a distance as to make</w:t>
      </w:r>
      <w:r w:rsidRPr="003C5180">
        <w:rPr>
          <w:lang w:eastAsia="en-GB"/>
        </w:rPr>
        <w:t xml:space="preserve"> continued follow up at their </w:t>
      </w:r>
      <w:r w:rsidR="009E48D3">
        <w:rPr>
          <w:lang w:eastAsia="en-GB"/>
        </w:rPr>
        <w:t>local trial site</w:t>
      </w:r>
      <w:r w:rsidR="009E48D3" w:rsidRPr="003C5180">
        <w:rPr>
          <w:lang w:eastAsia="en-GB"/>
        </w:rPr>
        <w:t xml:space="preserve"> </w:t>
      </w:r>
      <w:r w:rsidRPr="003C5180">
        <w:rPr>
          <w:lang w:eastAsia="en-GB"/>
        </w:rPr>
        <w:t xml:space="preserve">centre inappropriate, every effort should be made for them to be followed up at another </w:t>
      </w:r>
      <w:r w:rsidR="00F75B2E">
        <w:rPr>
          <w:lang w:eastAsia="en-GB"/>
        </w:rPr>
        <w:t>S</w:t>
      </w:r>
      <w:r w:rsidR="00F75B2E" w:rsidRPr="003C5180">
        <w:rPr>
          <w:lang w:eastAsia="en-GB"/>
        </w:rPr>
        <w:t>ponsor</w:t>
      </w:r>
      <w:r w:rsidR="00F75B2E">
        <w:rPr>
          <w:lang w:eastAsia="en-GB"/>
        </w:rPr>
        <w:t>-</w:t>
      </w:r>
      <w:r w:rsidRPr="003C5180">
        <w:rPr>
          <w:lang w:eastAsia="en-GB"/>
        </w:rPr>
        <w:t xml:space="preserve">approved trial centre. Written consent should be taken at the new centre and then a copy of the participant’s CRF </w:t>
      </w:r>
      <w:r w:rsidR="00F75B2E">
        <w:rPr>
          <w:lang w:eastAsia="en-GB"/>
        </w:rPr>
        <w:t xml:space="preserve">to date </w:t>
      </w:r>
      <w:r w:rsidRPr="003C5180">
        <w:rPr>
          <w:lang w:eastAsia="en-GB"/>
        </w:rPr>
        <w:t xml:space="preserve">should be provided to the new centre. </w:t>
      </w:r>
      <w:r w:rsidR="00EB48D5">
        <w:rPr>
          <w:lang w:eastAsia="en-GB"/>
        </w:rPr>
        <w:t xml:space="preserve">Original CRF paperwork will remain at the site responsible for completing that visit / data collection. </w:t>
      </w:r>
      <w:r w:rsidRPr="003C5180">
        <w:rPr>
          <w:lang w:eastAsia="en-GB"/>
        </w:rPr>
        <w:t>Responsibility for the participant remains with the original</w:t>
      </w:r>
      <w:r w:rsidR="00EB48D5">
        <w:rPr>
          <w:lang w:eastAsia="en-GB"/>
        </w:rPr>
        <w:t xml:space="preserve"> </w:t>
      </w:r>
      <w:r w:rsidRPr="003C5180">
        <w:rPr>
          <w:lang w:eastAsia="en-GB"/>
        </w:rPr>
        <w:t>consenting centre until the new consent process is complete</w:t>
      </w:r>
      <w:r w:rsidR="00EB48D5">
        <w:rPr>
          <w:lang w:eastAsia="en-GB"/>
        </w:rPr>
        <w:t xml:space="preserve"> at the new centre</w:t>
      </w:r>
      <w:r w:rsidR="00EB48D5" w:rsidRPr="003C5180">
        <w:rPr>
          <w:lang w:eastAsia="en-GB"/>
        </w:rPr>
        <w:t>.</w:t>
      </w:r>
      <w:r w:rsidR="00EB48D5">
        <w:rPr>
          <w:lang w:eastAsia="en-GB"/>
        </w:rPr>
        <w:t xml:space="preserve">  Participants who are transferred between sites temporarily over study Visit window(s) will retain a copy of preceding CRF(s) together with original CRF(s) completed at the ‘secondary’ site. Should the participant be transferred back to the primary centre a copy of the CRFs completed at the new ‘secondary’ centre will be provided to complete the primary centre records.</w:t>
      </w:r>
    </w:p>
    <w:p w14:paraId="2EF1357A" w14:textId="77777777" w:rsidR="00257A9E" w:rsidRPr="003C5180" w:rsidRDefault="008B45E8" w:rsidP="00257A9E">
      <w:pPr>
        <w:pStyle w:val="Heading2"/>
        <w:numPr>
          <w:ilvl w:val="0"/>
          <w:numId w:val="0"/>
        </w:numPr>
        <w:rPr>
          <w:sz w:val="24"/>
        </w:rPr>
      </w:pPr>
      <w:bookmarkStart w:id="80" w:name="_Toc470102479"/>
      <w:r w:rsidRPr="003C5180">
        <w:rPr>
          <w:sz w:val="24"/>
        </w:rPr>
        <w:t>11</w:t>
      </w:r>
      <w:r w:rsidR="00257A9E" w:rsidRPr="003C5180">
        <w:rPr>
          <w:sz w:val="24"/>
        </w:rPr>
        <w:t>.</w:t>
      </w:r>
      <w:r w:rsidR="00FE22B4">
        <w:rPr>
          <w:sz w:val="24"/>
        </w:rPr>
        <w:t>7</w:t>
      </w:r>
      <w:r w:rsidR="00257A9E" w:rsidRPr="003C5180">
        <w:rPr>
          <w:sz w:val="24"/>
        </w:rPr>
        <w:t xml:space="preserve">  </w:t>
      </w:r>
      <w:r w:rsidR="00F75B2E" w:rsidRPr="003C5180">
        <w:rPr>
          <w:sz w:val="24"/>
        </w:rPr>
        <w:t>Los</w:t>
      </w:r>
      <w:r w:rsidR="00F75B2E">
        <w:rPr>
          <w:sz w:val="24"/>
        </w:rPr>
        <w:t>s</w:t>
      </w:r>
      <w:r w:rsidR="00F75B2E" w:rsidRPr="003C5180">
        <w:rPr>
          <w:sz w:val="24"/>
        </w:rPr>
        <w:t xml:space="preserve"> </w:t>
      </w:r>
      <w:r w:rsidR="00257A9E" w:rsidRPr="003C5180">
        <w:rPr>
          <w:sz w:val="24"/>
        </w:rPr>
        <w:t>to follow up</w:t>
      </w:r>
      <w:bookmarkEnd w:id="80"/>
    </w:p>
    <w:p w14:paraId="769D57FE" w14:textId="77777777" w:rsidR="00257A9E" w:rsidRPr="003C5180" w:rsidRDefault="00257A9E" w:rsidP="00257A9E">
      <w:pPr>
        <w:rPr>
          <w:lang w:eastAsia="en-GB"/>
        </w:rPr>
      </w:pPr>
      <w:r w:rsidRPr="003C5180">
        <w:rPr>
          <w:lang w:eastAsia="en-GB"/>
        </w:rPr>
        <w:t>Every effort will be made to maintain contact with participants. If unable to make contact after three consecutive phone calls or emails</w:t>
      </w:r>
      <w:r w:rsidR="00220FE3">
        <w:rPr>
          <w:lang w:eastAsia="en-GB"/>
        </w:rPr>
        <w:t>,</w:t>
      </w:r>
      <w:r w:rsidRPr="003C5180">
        <w:rPr>
          <w:lang w:eastAsia="en-GB"/>
        </w:rPr>
        <w:t xml:space="preserve"> the participant</w:t>
      </w:r>
      <w:r w:rsidR="00615251">
        <w:rPr>
          <w:lang w:eastAsia="en-GB"/>
        </w:rPr>
        <w:t>’</w:t>
      </w:r>
      <w:r w:rsidRPr="003C5180">
        <w:rPr>
          <w:lang w:eastAsia="en-GB"/>
        </w:rPr>
        <w:t xml:space="preserve">s GP </w:t>
      </w:r>
      <w:r w:rsidR="00615251">
        <w:rPr>
          <w:lang w:eastAsia="en-GB"/>
        </w:rPr>
        <w:t xml:space="preserve">will be contacted </w:t>
      </w:r>
      <w:r w:rsidRPr="003C5180">
        <w:rPr>
          <w:lang w:eastAsia="en-GB"/>
        </w:rPr>
        <w:t xml:space="preserve">to check the contact details. </w:t>
      </w:r>
      <w:r w:rsidR="00F75B2E">
        <w:rPr>
          <w:lang w:eastAsia="en-GB"/>
        </w:rPr>
        <w:t>Permission to allow t</w:t>
      </w:r>
      <w:r w:rsidR="00F75B2E" w:rsidRPr="003C5180">
        <w:rPr>
          <w:lang w:eastAsia="en-GB"/>
        </w:rPr>
        <w:t xml:space="preserve">his </w:t>
      </w:r>
      <w:r w:rsidRPr="003C5180">
        <w:rPr>
          <w:lang w:eastAsia="en-GB"/>
        </w:rPr>
        <w:t xml:space="preserve">will be included within the consent form. If the details are incorrect </w:t>
      </w:r>
      <w:r w:rsidR="00615251">
        <w:rPr>
          <w:lang w:eastAsia="en-GB"/>
        </w:rPr>
        <w:t>then contact</w:t>
      </w:r>
      <w:r w:rsidRPr="003C5180">
        <w:rPr>
          <w:lang w:eastAsia="en-GB"/>
        </w:rPr>
        <w:t xml:space="preserve"> </w:t>
      </w:r>
      <w:r w:rsidR="00615251">
        <w:rPr>
          <w:lang w:eastAsia="en-GB"/>
        </w:rPr>
        <w:t>should be attempted</w:t>
      </w:r>
      <w:r w:rsidR="00615251" w:rsidRPr="003C5180">
        <w:rPr>
          <w:lang w:eastAsia="en-GB"/>
        </w:rPr>
        <w:t xml:space="preserve"> </w:t>
      </w:r>
      <w:r w:rsidRPr="003C5180">
        <w:rPr>
          <w:lang w:eastAsia="en-GB"/>
        </w:rPr>
        <w:t xml:space="preserve">on </w:t>
      </w:r>
      <w:r w:rsidR="00F75B2E">
        <w:rPr>
          <w:lang w:eastAsia="en-GB"/>
        </w:rPr>
        <w:t>up to</w:t>
      </w:r>
      <w:r w:rsidR="00F75B2E" w:rsidRPr="003C5180">
        <w:rPr>
          <w:lang w:eastAsia="en-GB"/>
        </w:rPr>
        <w:t xml:space="preserve"> </w:t>
      </w:r>
      <w:r w:rsidRPr="003C5180">
        <w:rPr>
          <w:lang w:eastAsia="en-GB"/>
        </w:rPr>
        <w:t xml:space="preserve">three </w:t>
      </w:r>
      <w:r w:rsidR="00F75B2E" w:rsidRPr="003C5180">
        <w:rPr>
          <w:lang w:eastAsia="en-GB"/>
        </w:rPr>
        <w:t xml:space="preserve">further </w:t>
      </w:r>
      <w:r w:rsidRPr="003C5180">
        <w:rPr>
          <w:lang w:eastAsia="en-GB"/>
        </w:rPr>
        <w:t xml:space="preserve">occasions using the correct details. If contact is not </w:t>
      </w:r>
      <w:r w:rsidR="00F75B2E">
        <w:rPr>
          <w:lang w:eastAsia="en-GB"/>
        </w:rPr>
        <w:t>subsequently obtained despite</w:t>
      </w:r>
      <w:r w:rsidRPr="003C5180">
        <w:rPr>
          <w:lang w:eastAsia="en-GB"/>
        </w:rPr>
        <w:t xml:space="preserve"> three </w:t>
      </w:r>
      <w:r w:rsidR="00F75B2E">
        <w:rPr>
          <w:lang w:eastAsia="en-GB"/>
        </w:rPr>
        <w:t>attemp</w:t>
      </w:r>
      <w:r w:rsidRPr="003C5180">
        <w:rPr>
          <w:lang w:eastAsia="en-GB"/>
        </w:rPr>
        <w:t xml:space="preserve">ts a letter will be sent to the participant’s home asking the parents to make contact with the study team. If there is no contact within </w:t>
      </w:r>
      <w:r w:rsidR="00F75B2E">
        <w:rPr>
          <w:lang w:eastAsia="en-GB"/>
        </w:rPr>
        <w:t>1</w:t>
      </w:r>
      <w:r w:rsidR="00F75B2E" w:rsidRPr="003C5180">
        <w:rPr>
          <w:lang w:eastAsia="en-GB"/>
        </w:rPr>
        <w:t xml:space="preserve"> </w:t>
      </w:r>
      <w:r w:rsidRPr="003C5180">
        <w:rPr>
          <w:lang w:eastAsia="en-GB"/>
        </w:rPr>
        <w:t xml:space="preserve">month of sending this letter the participant </w:t>
      </w:r>
      <w:r w:rsidR="00615251">
        <w:rPr>
          <w:lang w:eastAsia="en-GB"/>
        </w:rPr>
        <w:t xml:space="preserve">will be classified </w:t>
      </w:r>
      <w:r w:rsidRPr="003C5180">
        <w:rPr>
          <w:lang w:eastAsia="en-GB"/>
        </w:rPr>
        <w:t xml:space="preserve">as lost to follow up. </w:t>
      </w:r>
    </w:p>
    <w:p w14:paraId="0D45A0D7" w14:textId="77777777" w:rsidR="0009014A" w:rsidRPr="003C5180" w:rsidRDefault="008B45E8" w:rsidP="00E31FF1">
      <w:pPr>
        <w:pStyle w:val="Heading2"/>
        <w:numPr>
          <w:ilvl w:val="0"/>
          <w:numId w:val="0"/>
        </w:numPr>
        <w:rPr>
          <w:rFonts w:cs="Tahoma"/>
          <w:sz w:val="24"/>
          <w:lang w:eastAsia="en-GB"/>
        </w:rPr>
      </w:pPr>
      <w:bookmarkStart w:id="81" w:name="_Toc261532684"/>
      <w:bookmarkStart w:id="82" w:name="_Toc470102480"/>
      <w:r w:rsidRPr="003C5180">
        <w:rPr>
          <w:rFonts w:cs="Tahoma"/>
          <w:sz w:val="24"/>
          <w:lang w:eastAsia="en-GB"/>
        </w:rPr>
        <w:t>11</w:t>
      </w:r>
      <w:r w:rsidR="00E31FF1" w:rsidRPr="003C5180">
        <w:rPr>
          <w:rFonts w:cs="Tahoma"/>
          <w:sz w:val="24"/>
          <w:lang w:eastAsia="en-GB"/>
        </w:rPr>
        <w:t>.</w:t>
      </w:r>
      <w:r w:rsidR="00FE22B4">
        <w:rPr>
          <w:rFonts w:cs="Tahoma"/>
          <w:sz w:val="24"/>
          <w:lang w:eastAsia="en-GB"/>
        </w:rPr>
        <w:t>8</w:t>
      </w:r>
      <w:r w:rsidR="00E31FF1" w:rsidRPr="003C5180">
        <w:rPr>
          <w:rFonts w:cs="Tahoma"/>
          <w:sz w:val="24"/>
          <w:lang w:eastAsia="en-GB"/>
        </w:rPr>
        <w:t xml:space="preserve"> </w:t>
      </w:r>
      <w:r w:rsidR="0009014A" w:rsidRPr="003C5180">
        <w:rPr>
          <w:rFonts w:cs="Tahoma"/>
          <w:sz w:val="24"/>
          <w:lang w:eastAsia="en-GB"/>
        </w:rPr>
        <w:t>Definition of the End of Trial</w:t>
      </w:r>
      <w:bookmarkEnd w:id="81"/>
      <w:bookmarkEnd w:id="82"/>
    </w:p>
    <w:p w14:paraId="43380B6E" w14:textId="77777777" w:rsidR="00F75B2E" w:rsidRPr="00D42BF6" w:rsidRDefault="00F75B2E" w:rsidP="00735F01">
      <w:pPr>
        <w:widowControl w:val="0"/>
        <w:autoSpaceDE w:val="0"/>
        <w:autoSpaceDN w:val="0"/>
        <w:adjustRightInd w:val="0"/>
        <w:spacing w:after="0"/>
        <w:rPr>
          <w:rFonts w:cs="Arial"/>
          <w:color w:val="000000"/>
          <w:szCs w:val="22"/>
          <w:lang w:val="en-US"/>
        </w:rPr>
      </w:pPr>
      <w:r w:rsidRPr="00D42BF6">
        <w:rPr>
          <w:rFonts w:cs="Arial"/>
          <w:color w:val="000000"/>
          <w:szCs w:val="22"/>
          <w:lang w:val="en-US"/>
        </w:rPr>
        <w:t xml:space="preserve">The end of trial for an individual infant is defined as being on completion of their final </w:t>
      </w:r>
      <w:r>
        <w:rPr>
          <w:rFonts w:cs="Arial"/>
          <w:color w:val="000000"/>
          <w:szCs w:val="22"/>
          <w:lang w:val="en-US"/>
        </w:rPr>
        <w:t>study visit (V6) schedule at age 13 months</w:t>
      </w:r>
      <w:r w:rsidRPr="00D42BF6">
        <w:rPr>
          <w:rFonts w:cs="Arial"/>
          <w:color w:val="000000"/>
          <w:szCs w:val="22"/>
          <w:lang w:val="en-US"/>
        </w:rPr>
        <w:t xml:space="preserve">. </w:t>
      </w:r>
      <w:r w:rsidR="008B140B" w:rsidRPr="003C5180">
        <w:rPr>
          <w:lang w:eastAsia="en-GB"/>
        </w:rPr>
        <w:t xml:space="preserve">The end of the trial </w:t>
      </w:r>
      <w:r>
        <w:rPr>
          <w:lang w:eastAsia="en-GB"/>
        </w:rPr>
        <w:t xml:space="preserve">overall </w:t>
      </w:r>
      <w:r w:rsidR="008B140B" w:rsidRPr="003C5180">
        <w:rPr>
          <w:lang w:eastAsia="en-GB"/>
        </w:rPr>
        <w:t xml:space="preserve">will be defined as </w:t>
      </w:r>
      <w:r w:rsidR="003D42A8">
        <w:rPr>
          <w:lang w:eastAsia="en-GB"/>
        </w:rPr>
        <w:t xml:space="preserve">the </w:t>
      </w:r>
      <w:r w:rsidR="008E30E8">
        <w:rPr>
          <w:lang w:eastAsia="en-GB"/>
        </w:rPr>
        <w:t>time of</w:t>
      </w:r>
      <w:r w:rsidR="00A82901">
        <w:rPr>
          <w:lang w:eastAsia="en-GB"/>
        </w:rPr>
        <w:t xml:space="preserve"> final database lock following laboratory analysis of serum samples.</w:t>
      </w:r>
      <w:r w:rsidR="00220FE3">
        <w:rPr>
          <w:lang w:eastAsia="en-GB"/>
        </w:rPr>
        <w:t xml:space="preserve"> </w:t>
      </w:r>
      <w:r w:rsidR="0009014A" w:rsidRPr="003C5180">
        <w:rPr>
          <w:lang w:eastAsia="en-GB"/>
        </w:rPr>
        <w:t xml:space="preserve">The </w:t>
      </w:r>
      <w:r w:rsidR="00735F01" w:rsidRPr="00D42BF6">
        <w:rPr>
          <w:rFonts w:cs="Arial"/>
          <w:color w:val="000000"/>
          <w:szCs w:val="22"/>
          <w:lang w:val="en-US"/>
        </w:rPr>
        <w:t>approving</w:t>
      </w:r>
      <w:r w:rsidR="00735F01" w:rsidRPr="003C5180">
        <w:rPr>
          <w:lang w:eastAsia="en-GB"/>
        </w:rPr>
        <w:t xml:space="preserve"> </w:t>
      </w:r>
      <w:r w:rsidR="0009014A" w:rsidRPr="003C5180">
        <w:rPr>
          <w:lang w:eastAsia="en-GB"/>
        </w:rPr>
        <w:t xml:space="preserve">REC and the MHRA require notification of the end of trial within 90 days of its </w:t>
      </w:r>
      <w:r w:rsidR="004A1546" w:rsidRPr="003C5180">
        <w:rPr>
          <w:lang w:eastAsia="en-GB"/>
        </w:rPr>
        <w:t xml:space="preserve">planned </w:t>
      </w:r>
      <w:r w:rsidR="0009014A" w:rsidRPr="003C5180">
        <w:rPr>
          <w:lang w:eastAsia="en-GB"/>
        </w:rPr>
        <w:t xml:space="preserve">completion </w:t>
      </w:r>
      <w:r w:rsidR="004A1546" w:rsidRPr="003C5180">
        <w:rPr>
          <w:lang w:eastAsia="en-GB"/>
        </w:rPr>
        <w:t xml:space="preserve">or within 15 days if the study is terminated early. </w:t>
      </w:r>
      <w:r w:rsidR="00735F01" w:rsidRPr="00D42BF6">
        <w:rPr>
          <w:rFonts w:cs="Arial"/>
          <w:color w:val="000000"/>
          <w:szCs w:val="22"/>
          <w:lang w:val="en-US"/>
        </w:rPr>
        <w:t>The responsibility for submitting the Clinical Study Report will lie with the Chief Investigator and Sponsor.</w:t>
      </w:r>
      <w:r w:rsidR="00735F01">
        <w:rPr>
          <w:rFonts w:cs="Arial"/>
          <w:color w:val="000000"/>
          <w:szCs w:val="22"/>
          <w:lang w:val="en-US"/>
        </w:rPr>
        <w:t xml:space="preserve"> </w:t>
      </w:r>
      <w:r w:rsidR="004A1546" w:rsidRPr="003C5180">
        <w:rPr>
          <w:lang w:eastAsia="en-GB"/>
        </w:rPr>
        <w:t>R</w:t>
      </w:r>
      <w:r w:rsidR="0009014A" w:rsidRPr="003C5180">
        <w:rPr>
          <w:lang w:eastAsia="en-GB"/>
        </w:rPr>
        <w:t>efer to JREOSOP0015</w:t>
      </w:r>
      <w:r w:rsidR="004A1546" w:rsidRPr="003C5180">
        <w:rPr>
          <w:lang w:eastAsia="en-GB"/>
        </w:rPr>
        <w:t xml:space="preserve"> and inform the JREO</w:t>
      </w:r>
      <w:r w:rsidR="004F2ECA" w:rsidRPr="003C5180">
        <w:rPr>
          <w:lang w:eastAsia="en-GB"/>
        </w:rPr>
        <w:t xml:space="preserve"> to facilitate assistance and compliance</w:t>
      </w:r>
      <w:r w:rsidR="00437F91" w:rsidRPr="003C5180">
        <w:rPr>
          <w:lang w:eastAsia="en-GB"/>
        </w:rPr>
        <w:t xml:space="preserve"> with requirements</w:t>
      </w:r>
      <w:r>
        <w:rPr>
          <w:lang w:eastAsia="en-GB"/>
        </w:rPr>
        <w:t xml:space="preserve">. </w:t>
      </w:r>
    </w:p>
    <w:p w14:paraId="2E00D215" w14:textId="77777777" w:rsidR="00131081" w:rsidRPr="003C5180" w:rsidRDefault="00131081" w:rsidP="008B45E8">
      <w:pPr>
        <w:pStyle w:val="Heading1"/>
        <w:numPr>
          <w:ilvl w:val="0"/>
          <w:numId w:val="39"/>
        </w:numPr>
        <w:rPr>
          <w:rFonts w:ascii="Calibri" w:hAnsi="Calibri"/>
          <w:szCs w:val="28"/>
        </w:rPr>
      </w:pPr>
      <w:bookmarkStart w:id="83" w:name="_Toc470102481"/>
      <w:bookmarkEnd w:id="79"/>
      <w:r w:rsidRPr="003C5180">
        <w:rPr>
          <w:rFonts w:ascii="Calibri" w:hAnsi="Calibri"/>
          <w:szCs w:val="28"/>
        </w:rPr>
        <w:t>Study Assessments</w:t>
      </w:r>
      <w:bookmarkEnd w:id="83"/>
    </w:p>
    <w:p w14:paraId="70883D1A" w14:textId="77777777" w:rsidR="004571CC" w:rsidRPr="003C5180" w:rsidRDefault="004571CC" w:rsidP="008B45E8">
      <w:pPr>
        <w:pStyle w:val="Heading2"/>
        <w:numPr>
          <w:ilvl w:val="1"/>
          <w:numId w:val="40"/>
        </w:numPr>
        <w:rPr>
          <w:rFonts w:cs="Tahoma"/>
          <w:sz w:val="24"/>
        </w:rPr>
      </w:pPr>
      <w:bookmarkStart w:id="84" w:name="_Toc261532676"/>
      <w:bookmarkStart w:id="85" w:name="_Toc470102482"/>
      <w:r w:rsidRPr="003C5180">
        <w:rPr>
          <w:rFonts w:cs="Tahoma"/>
          <w:sz w:val="24"/>
        </w:rPr>
        <w:t>Screening assessments</w:t>
      </w:r>
      <w:bookmarkEnd w:id="84"/>
      <w:bookmarkEnd w:id="85"/>
    </w:p>
    <w:p w14:paraId="359D079B" w14:textId="25799931" w:rsidR="00184325" w:rsidRPr="003C5180" w:rsidRDefault="00E52DCD" w:rsidP="00184325">
      <w:pPr>
        <w:jc w:val="both"/>
        <w:rPr>
          <w:lang w:eastAsia="en-GB"/>
        </w:rPr>
      </w:pPr>
      <w:r w:rsidRPr="003C5180">
        <w:rPr>
          <w:lang w:eastAsia="en-GB"/>
        </w:rPr>
        <w:t xml:space="preserve">A standardised Case Report Form (CRF) will be completed after obtaining written consent which will check the infant’s eligibility, medical history, concomitant medications and any contraindications to vaccination. A record of physical examination will be made. </w:t>
      </w:r>
      <w:r w:rsidR="000B4BC8">
        <w:rPr>
          <w:lang w:eastAsia="en-GB"/>
        </w:rPr>
        <w:t>The intention of this record of physical examination is to document that there are no clinical c</w:t>
      </w:r>
      <w:r w:rsidR="004D18DC">
        <w:rPr>
          <w:lang w:eastAsia="en-GB"/>
        </w:rPr>
        <w:t>ontraindications to vaccination and this may take a variety of forms: f</w:t>
      </w:r>
      <w:r w:rsidR="000B4BC8">
        <w:rPr>
          <w:lang w:eastAsia="en-GB"/>
        </w:rPr>
        <w:t>or participants who are still in-patients, recent documentation of physical examination and agreement from the clinical team that vaccinatio</w:t>
      </w:r>
      <w:r w:rsidR="004D18DC">
        <w:rPr>
          <w:lang w:eastAsia="en-GB"/>
        </w:rPr>
        <w:t>n is appropriate is sufficient, for babies who were discharged at around 6-8 weeks, documentation of an examination at the time of discharge or evidence that the clinical team were happy for vaccination to take place (for example in discharge summary) is acceptable</w:t>
      </w:r>
      <w:r w:rsidR="0013334E">
        <w:rPr>
          <w:lang w:eastAsia="en-GB"/>
        </w:rPr>
        <w:t>. F</w:t>
      </w:r>
      <w:r w:rsidR="004D18DC">
        <w:rPr>
          <w:lang w:eastAsia="en-GB"/>
        </w:rPr>
        <w:t>or those discharged before 6 weeks</w:t>
      </w:r>
      <w:r w:rsidR="000B4BC8">
        <w:rPr>
          <w:lang w:eastAsia="en-GB"/>
        </w:rPr>
        <w:t xml:space="preserve"> </w:t>
      </w:r>
      <w:r w:rsidR="0013334E">
        <w:rPr>
          <w:lang w:eastAsia="en-GB"/>
        </w:rPr>
        <w:t xml:space="preserve">of age </w:t>
      </w:r>
      <w:r w:rsidR="000B4BC8">
        <w:rPr>
          <w:lang w:eastAsia="en-GB"/>
        </w:rPr>
        <w:t>in</w:t>
      </w:r>
      <w:r w:rsidR="008B140B" w:rsidRPr="003C5180">
        <w:rPr>
          <w:lang w:eastAsia="en-GB"/>
        </w:rPr>
        <w:t xml:space="preserve"> most cases the infant will have had the 6-8 week check performed by the GP and if this is the case a</w:t>
      </w:r>
      <w:r w:rsidRPr="003C5180">
        <w:rPr>
          <w:lang w:eastAsia="en-GB"/>
        </w:rPr>
        <w:t xml:space="preserve"> copy of this will suffice along with a check with the parents that they have no new concerns.</w:t>
      </w:r>
      <w:r w:rsidR="004D18DC">
        <w:rPr>
          <w:lang w:eastAsia="en-GB"/>
        </w:rPr>
        <w:t xml:space="preserve"> If there is no evidence of a physical examination having tak</w:t>
      </w:r>
      <w:r w:rsidR="00097A66">
        <w:rPr>
          <w:lang w:eastAsia="en-GB"/>
        </w:rPr>
        <w:t>ing place after the</w:t>
      </w:r>
      <w:r w:rsidR="004D18DC">
        <w:rPr>
          <w:lang w:eastAsia="en-GB"/>
        </w:rPr>
        <w:t xml:space="preserve"> </w:t>
      </w:r>
      <w:r w:rsidR="005F178E">
        <w:rPr>
          <w:lang w:eastAsia="en-GB"/>
        </w:rPr>
        <w:t xml:space="preserve">first </w:t>
      </w:r>
      <w:r w:rsidR="004D18DC">
        <w:rPr>
          <w:lang w:eastAsia="en-GB"/>
        </w:rPr>
        <w:t xml:space="preserve">few days of life </w:t>
      </w:r>
      <w:r w:rsidR="00735F01">
        <w:rPr>
          <w:lang w:eastAsia="en-GB"/>
        </w:rPr>
        <w:t>an</w:t>
      </w:r>
      <w:r w:rsidRPr="003C5180">
        <w:rPr>
          <w:lang w:eastAsia="en-GB"/>
        </w:rPr>
        <w:t xml:space="preserve"> investigator trained to perform physical examinations on infants </w:t>
      </w:r>
      <w:r w:rsidR="00735F01">
        <w:rPr>
          <w:lang w:eastAsia="en-GB"/>
        </w:rPr>
        <w:t>will</w:t>
      </w:r>
      <w:r w:rsidRPr="003C5180">
        <w:rPr>
          <w:lang w:eastAsia="en-GB"/>
        </w:rPr>
        <w:t xml:space="preserve"> perform </w:t>
      </w:r>
      <w:r w:rsidR="008B140B" w:rsidRPr="003C5180">
        <w:rPr>
          <w:lang w:eastAsia="en-GB"/>
        </w:rPr>
        <w:t>a</w:t>
      </w:r>
      <w:r w:rsidRPr="003C5180">
        <w:rPr>
          <w:lang w:eastAsia="en-GB"/>
        </w:rPr>
        <w:t xml:space="preserve"> physical examinatio</w:t>
      </w:r>
      <w:r w:rsidR="009B1811">
        <w:rPr>
          <w:lang w:eastAsia="en-GB"/>
        </w:rPr>
        <w:t>n.</w:t>
      </w:r>
      <w:r w:rsidR="008B140B" w:rsidRPr="003C5180">
        <w:rPr>
          <w:lang w:eastAsia="en-GB"/>
        </w:rPr>
        <w:t xml:space="preserve"> </w:t>
      </w:r>
    </w:p>
    <w:p w14:paraId="64399435" w14:textId="77777777" w:rsidR="004571CC" w:rsidRPr="003C5180" w:rsidRDefault="004571CC" w:rsidP="008B45E8">
      <w:pPr>
        <w:pStyle w:val="Heading2"/>
        <w:numPr>
          <w:ilvl w:val="1"/>
          <w:numId w:val="40"/>
        </w:numPr>
        <w:rPr>
          <w:rFonts w:cs="Tahoma"/>
          <w:sz w:val="24"/>
        </w:rPr>
      </w:pPr>
      <w:bookmarkStart w:id="86" w:name="_Toc261532677"/>
      <w:bookmarkStart w:id="87" w:name="_Toc470102483"/>
      <w:r w:rsidRPr="003C5180">
        <w:rPr>
          <w:rFonts w:cs="Tahoma"/>
          <w:sz w:val="24"/>
        </w:rPr>
        <w:t>Baseline assessments</w:t>
      </w:r>
      <w:bookmarkEnd w:id="86"/>
      <w:bookmarkEnd w:id="87"/>
    </w:p>
    <w:p w14:paraId="0FF7995D" w14:textId="77777777" w:rsidR="00EE112B" w:rsidRPr="003C5180" w:rsidRDefault="000778D5" w:rsidP="00EE112B">
      <w:pPr>
        <w:rPr>
          <w:lang w:eastAsia="en-GB"/>
        </w:rPr>
      </w:pPr>
      <w:r w:rsidRPr="003C5180">
        <w:rPr>
          <w:lang w:eastAsia="en-GB"/>
        </w:rPr>
        <w:t xml:space="preserve">Baseline assessment will include collection of demographic information about the infant, </w:t>
      </w:r>
      <w:r w:rsidR="00EE112B" w:rsidRPr="003C5180">
        <w:rPr>
          <w:lang w:eastAsia="en-GB"/>
        </w:rPr>
        <w:t>contact detail</w:t>
      </w:r>
      <w:r w:rsidRPr="003C5180">
        <w:rPr>
          <w:lang w:eastAsia="en-GB"/>
        </w:rPr>
        <w:t>s for the family</w:t>
      </w:r>
      <w:r w:rsidR="00735F01">
        <w:rPr>
          <w:lang w:eastAsia="en-GB"/>
        </w:rPr>
        <w:t>,</w:t>
      </w:r>
      <w:r w:rsidRPr="003C5180">
        <w:rPr>
          <w:lang w:eastAsia="en-GB"/>
        </w:rPr>
        <w:t xml:space="preserve"> and for the GP. The temperature will be assessed using an axillary thermometer prior </w:t>
      </w:r>
      <w:r w:rsidR="00615251">
        <w:rPr>
          <w:lang w:eastAsia="en-GB"/>
        </w:rPr>
        <w:t xml:space="preserve">to </w:t>
      </w:r>
      <w:r w:rsidRPr="003C5180">
        <w:rPr>
          <w:lang w:eastAsia="en-GB"/>
        </w:rPr>
        <w:t xml:space="preserve">administration of the vaccine. </w:t>
      </w:r>
      <w:r w:rsidR="00735F01">
        <w:rPr>
          <w:lang w:eastAsia="en-GB"/>
        </w:rPr>
        <w:t>V</w:t>
      </w:r>
      <w:r w:rsidRPr="003C5180">
        <w:rPr>
          <w:lang w:eastAsia="en-GB"/>
        </w:rPr>
        <w:t>accination</w:t>
      </w:r>
      <w:r w:rsidR="00735F01">
        <w:rPr>
          <w:lang w:eastAsia="en-GB"/>
        </w:rPr>
        <w:t>s</w:t>
      </w:r>
      <w:r w:rsidRPr="003C5180">
        <w:rPr>
          <w:lang w:eastAsia="en-GB"/>
        </w:rPr>
        <w:t xml:space="preserve"> will not be given if the temperature is </w:t>
      </w:r>
      <w:r w:rsidR="00385E4C" w:rsidRPr="003C5180">
        <w:rPr>
          <w:lang w:eastAsia="en-GB"/>
        </w:rPr>
        <w:t>38</w:t>
      </w:r>
      <w:r w:rsidR="00735F01">
        <w:rPr>
          <w:lang w:eastAsia="en-GB"/>
        </w:rPr>
        <w:t>.0</w:t>
      </w:r>
      <w:r w:rsidR="00385E4C" w:rsidRPr="003C5180">
        <w:rPr>
          <w:vertAlign w:val="superscript"/>
          <w:lang w:eastAsia="en-GB"/>
        </w:rPr>
        <w:t>o</w:t>
      </w:r>
      <w:r w:rsidR="00385E4C" w:rsidRPr="003C5180">
        <w:rPr>
          <w:lang w:eastAsia="en-GB"/>
        </w:rPr>
        <w:t>C</w:t>
      </w:r>
      <w:r w:rsidR="0065794C">
        <w:rPr>
          <w:lang w:eastAsia="en-GB"/>
        </w:rPr>
        <w:t xml:space="preserve"> or above</w:t>
      </w:r>
      <w:r w:rsidRPr="003C5180">
        <w:rPr>
          <w:lang w:eastAsia="en-GB"/>
        </w:rPr>
        <w:t>.</w:t>
      </w:r>
    </w:p>
    <w:p w14:paraId="28C32BAD" w14:textId="77777777" w:rsidR="004571CC" w:rsidRPr="003C5180" w:rsidRDefault="004571CC" w:rsidP="008B45E8">
      <w:pPr>
        <w:pStyle w:val="Heading2"/>
        <w:numPr>
          <w:ilvl w:val="1"/>
          <w:numId w:val="40"/>
        </w:numPr>
        <w:rPr>
          <w:rFonts w:cs="Tahoma"/>
          <w:sz w:val="24"/>
        </w:rPr>
      </w:pPr>
      <w:bookmarkStart w:id="88" w:name="_Toc261532678"/>
      <w:bookmarkStart w:id="89" w:name="_Toc470102484"/>
      <w:r w:rsidRPr="003C5180">
        <w:rPr>
          <w:rFonts w:cs="Tahoma"/>
          <w:sz w:val="24"/>
        </w:rPr>
        <w:t>Treatment procedure</w:t>
      </w:r>
      <w:bookmarkEnd w:id="88"/>
      <w:bookmarkEnd w:id="89"/>
    </w:p>
    <w:p w14:paraId="626F49BD" w14:textId="095E48EC" w:rsidR="00E52DCD" w:rsidRPr="003C5180" w:rsidRDefault="00E52DCD" w:rsidP="00E52DCD">
      <w:pPr>
        <w:jc w:val="both"/>
        <w:rPr>
          <w:lang w:eastAsia="en-GB"/>
        </w:rPr>
      </w:pPr>
      <w:bookmarkStart w:id="90" w:name="_Toc261532679"/>
      <w:r w:rsidRPr="003C5180">
        <w:rPr>
          <w:lang w:eastAsia="en-GB"/>
        </w:rPr>
        <w:t xml:space="preserve">The study personnel will reconstitute and administer the vaccines according to the </w:t>
      </w:r>
      <w:r w:rsidR="00735F01">
        <w:rPr>
          <w:lang w:eastAsia="en-GB"/>
        </w:rPr>
        <w:t>SmPC</w:t>
      </w:r>
      <w:r w:rsidRPr="003C5180">
        <w:rPr>
          <w:lang w:eastAsia="en-GB"/>
        </w:rPr>
        <w:t xml:space="preserve"> for each vaccine. The dose or route of administration will not be modified for any of the vaccines under any circumstances. </w:t>
      </w:r>
      <w:r w:rsidR="00D954AB">
        <w:rPr>
          <w:lang w:eastAsia="en-GB"/>
        </w:rPr>
        <w:t>Vaccines</w:t>
      </w:r>
      <w:r w:rsidRPr="003C5180">
        <w:rPr>
          <w:lang w:eastAsia="en-GB"/>
        </w:rPr>
        <w:t xml:space="preserve"> </w:t>
      </w:r>
      <w:r w:rsidR="00D954AB">
        <w:rPr>
          <w:lang w:eastAsia="en-GB"/>
        </w:rPr>
        <w:t>will</w:t>
      </w:r>
      <w:r w:rsidRPr="003C5180">
        <w:rPr>
          <w:lang w:eastAsia="en-GB"/>
        </w:rPr>
        <w:t xml:space="preserve"> be administered in hospital if the </w:t>
      </w:r>
      <w:r w:rsidR="00097A66">
        <w:rPr>
          <w:lang w:eastAsia="en-GB"/>
        </w:rPr>
        <w:t>participant</w:t>
      </w:r>
      <w:r w:rsidRPr="003C5180">
        <w:rPr>
          <w:lang w:eastAsia="en-GB"/>
        </w:rPr>
        <w:t xml:space="preserve"> is still an in-patient. </w:t>
      </w:r>
      <w:r w:rsidR="00BD1406">
        <w:rPr>
          <w:lang w:eastAsia="en-GB"/>
        </w:rPr>
        <w:t xml:space="preserve">If vaccines are given in hospital these may be administered by a member of the clinical team who </w:t>
      </w:r>
      <w:r w:rsidR="00CE5C76">
        <w:rPr>
          <w:lang w:eastAsia="en-GB"/>
        </w:rPr>
        <w:t>may</w:t>
      </w:r>
      <w:r w:rsidR="00BD1406">
        <w:rPr>
          <w:lang w:eastAsia="en-GB"/>
        </w:rPr>
        <w:t xml:space="preserve"> not </w:t>
      </w:r>
      <w:r w:rsidR="00CE5C76">
        <w:rPr>
          <w:lang w:eastAsia="en-GB"/>
        </w:rPr>
        <w:t xml:space="preserve">be </w:t>
      </w:r>
      <w:r w:rsidR="00BD1406">
        <w:rPr>
          <w:lang w:eastAsia="en-GB"/>
        </w:rPr>
        <w:t>on the delegation log</w:t>
      </w:r>
      <w:r w:rsidR="00CE5C76">
        <w:rPr>
          <w:lang w:eastAsia="en-GB"/>
        </w:rPr>
        <w:t xml:space="preserve"> but whom the PI is willing to take responsibility for</w:t>
      </w:r>
      <w:r w:rsidR="00BD1406">
        <w:rPr>
          <w:lang w:eastAsia="en-GB"/>
        </w:rPr>
        <w:t xml:space="preserve">. If this is the case the vaccines must be given according to the study specific instructions </w:t>
      </w:r>
      <w:r w:rsidR="0013334E">
        <w:rPr>
          <w:lang w:eastAsia="en-GB"/>
        </w:rPr>
        <w:t>regarding anatomical</w:t>
      </w:r>
      <w:r w:rsidR="00BD1406">
        <w:rPr>
          <w:lang w:eastAsia="en-GB"/>
        </w:rPr>
        <w:t xml:space="preserve"> location</w:t>
      </w:r>
      <w:r w:rsidR="0013334E">
        <w:rPr>
          <w:lang w:eastAsia="en-GB"/>
        </w:rPr>
        <w:t xml:space="preserve">s for </w:t>
      </w:r>
      <w:r w:rsidR="00BD1406">
        <w:rPr>
          <w:lang w:eastAsia="en-GB"/>
        </w:rPr>
        <w:t xml:space="preserve">vaccination. A member of the research team should be present at the time of vaccination </w:t>
      </w:r>
      <w:r w:rsidR="00CE5C76">
        <w:rPr>
          <w:lang w:eastAsia="en-GB"/>
        </w:rPr>
        <w:t xml:space="preserve">to assist in protocol compliance and to ensure </w:t>
      </w:r>
      <w:r w:rsidR="00BD1406">
        <w:rPr>
          <w:lang w:eastAsia="en-GB"/>
        </w:rPr>
        <w:t xml:space="preserve">that all other study tasks </w:t>
      </w:r>
      <w:r w:rsidR="00CE5C76">
        <w:rPr>
          <w:lang w:eastAsia="en-GB"/>
        </w:rPr>
        <w:t>are</w:t>
      </w:r>
      <w:r w:rsidR="00BD1406">
        <w:rPr>
          <w:lang w:eastAsia="en-GB"/>
        </w:rPr>
        <w:t xml:space="preserve"> performed. </w:t>
      </w:r>
      <w:r w:rsidR="00735F01">
        <w:rPr>
          <w:lang w:eastAsia="en-GB"/>
        </w:rPr>
        <w:t>F</w:t>
      </w:r>
      <w:r w:rsidR="00D954AB">
        <w:rPr>
          <w:lang w:eastAsia="en-GB"/>
        </w:rPr>
        <w:t>ollowing discharge</w:t>
      </w:r>
      <w:r w:rsidR="00735F01">
        <w:rPr>
          <w:lang w:eastAsia="en-GB"/>
        </w:rPr>
        <w:t>, all</w:t>
      </w:r>
      <w:r w:rsidR="00735F01" w:rsidRPr="003C5180">
        <w:rPr>
          <w:lang w:eastAsia="en-GB"/>
        </w:rPr>
        <w:t xml:space="preserve"> </w:t>
      </w:r>
      <w:r w:rsidR="00735F01">
        <w:rPr>
          <w:lang w:eastAsia="en-GB"/>
        </w:rPr>
        <w:t xml:space="preserve">vaccine </w:t>
      </w:r>
      <w:r w:rsidR="00735F01" w:rsidRPr="003C5180">
        <w:rPr>
          <w:lang w:eastAsia="en-GB"/>
        </w:rPr>
        <w:t xml:space="preserve">doses </w:t>
      </w:r>
      <w:r w:rsidRPr="003C5180">
        <w:rPr>
          <w:lang w:eastAsia="en-GB"/>
        </w:rPr>
        <w:t xml:space="preserve">administered </w:t>
      </w:r>
      <w:r w:rsidR="00735F01">
        <w:rPr>
          <w:lang w:eastAsia="en-GB"/>
        </w:rPr>
        <w:t>to participants will</w:t>
      </w:r>
      <w:r w:rsidR="00735F01" w:rsidRPr="003C5180">
        <w:rPr>
          <w:lang w:eastAsia="en-GB"/>
        </w:rPr>
        <w:t xml:space="preserve"> </w:t>
      </w:r>
      <w:r w:rsidR="00735F01">
        <w:rPr>
          <w:lang w:eastAsia="en-GB"/>
        </w:rPr>
        <w:t xml:space="preserve">be </w:t>
      </w:r>
      <w:r w:rsidRPr="003C5180">
        <w:rPr>
          <w:lang w:eastAsia="en-GB"/>
        </w:rPr>
        <w:t xml:space="preserve">either in hospital or at home depending on family preference and local strategy. Before each dose is given, the infant’s temperature will be checked. Vaccination will be deferred if the axillary temperature is </w:t>
      </w:r>
      <w:r w:rsidR="00E824D7">
        <w:rPr>
          <w:lang w:eastAsia="en-GB"/>
        </w:rPr>
        <w:t>≥</w:t>
      </w:r>
      <w:r w:rsidRPr="003C5180">
        <w:rPr>
          <w:lang w:eastAsia="en-GB"/>
        </w:rPr>
        <w:t>38</w:t>
      </w:r>
      <w:r w:rsidR="00735F01">
        <w:rPr>
          <w:lang w:eastAsia="en-GB"/>
        </w:rPr>
        <w:t>.0</w:t>
      </w:r>
      <w:r w:rsidRPr="003C5180">
        <w:rPr>
          <w:vertAlign w:val="superscript"/>
          <w:lang w:eastAsia="en-GB"/>
        </w:rPr>
        <w:t>o</w:t>
      </w:r>
      <w:r w:rsidRPr="003C5180">
        <w:rPr>
          <w:lang w:eastAsia="en-GB"/>
        </w:rPr>
        <w:t xml:space="preserve">C, or if there is acute illness on the day of vaccination. Those infants who are still in hospital at the time of vaccination will have observations recorded in their CRF for a period of 24 hours prior to immunisation and </w:t>
      </w:r>
      <w:r w:rsidR="00385E4C">
        <w:rPr>
          <w:lang w:eastAsia="en-GB"/>
        </w:rPr>
        <w:t>for</w:t>
      </w:r>
      <w:r w:rsidRPr="003C5180">
        <w:rPr>
          <w:lang w:eastAsia="en-GB"/>
        </w:rPr>
        <w:t xml:space="preserve"> </w:t>
      </w:r>
      <w:r w:rsidR="00D954AB">
        <w:rPr>
          <w:lang w:eastAsia="en-GB"/>
        </w:rPr>
        <w:t>72</w:t>
      </w:r>
      <w:r w:rsidRPr="003C5180">
        <w:rPr>
          <w:lang w:eastAsia="en-GB"/>
        </w:rPr>
        <w:t xml:space="preserve"> hours</w:t>
      </w:r>
      <w:r w:rsidR="00385E4C">
        <w:rPr>
          <w:lang w:eastAsia="en-GB"/>
        </w:rPr>
        <w:t xml:space="preserve"> after immunisation</w:t>
      </w:r>
      <w:r w:rsidR="008C5D58">
        <w:rPr>
          <w:lang w:eastAsia="en-GB"/>
        </w:rPr>
        <w:t>.</w:t>
      </w:r>
      <w:r w:rsidR="00AD4946">
        <w:rPr>
          <w:lang w:eastAsia="en-GB"/>
        </w:rPr>
        <w:t xml:space="preserve"> </w:t>
      </w:r>
    </w:p>
    <w:p w14:paraId="626CB2D9" w14:textId="3D60F138" w:rsidR="00E52DCD" w:rsidRPr="003C5180" w:rsidRDefault="00E52DCD" w:rsidP="00E52DCD">
      <w:pPr>
        <w:jc w:val="both"/>
        <w:rPr>
          <w:lang w:eastAsia="en-GB"/>
        </w:rPr>
      </w:pPr>
      <w:r w:rsidRPr="003C5180">
        <w:rPr>
          <w:lang w:eastAsia="en-GB"/>
        </w:rPr>
        <w:t>The vaccines will be administered by intramuscular injection in</w:t>
      </w:r>
      <w:r w:rsidR="00735F01">
        <w:rPr>
          <w:lang w:eastAsia="en-GB"/>
        </w:rPr>
        <w:t>to</w:t>
      </w:r>
      <w:r w:rsidRPr="003C5180">
        <w:rPr>
          <w:lang w:eastAsia="en-GB"/>
        </w:rPr>
        <w:t xml:space="preserve"> the antero-lateral thighs</w:t>
      </w:r>
      <w:r w:rsidR="00365395" w:rsidRPr="003C5180">
        <w:rPr>
          <w:lang w:eastAsia="en-GB"/>
        </w:rPr>
        <w:t>.</w:t>
      </w:r>
      <w:r w:rsidR="00EF6AED">
        <w:rPr>
          <w:lang w:eastAsia="en-GB"/>
        </w:rPr>
        <w:t xml:space="preserve"> These should be given according to the practice outline in The Green Book. If needles are provided with the vaccine these should be used, if needles are not provided, the person giving the vaccine should make a decision based on the size of the infant. It is recommended that a 25mm 23G (blue) or 25mm 25G (orange) needle should be used in most infants with the smaller 16mm 25G (orange) needle being more suitable for smaller preterm infants. </w:t>
      </w:r>
      <w:r w:rsidR="00365395" w:rsidRPr="003C5180">
        <w:rPr>
          <w:lang w:eastAsia="en-GB"/>
        </w:rPr>
        <w:t xml:space="preserve"> For the 2, 3 and 4</w:t>
      </w:r>
      <w:r w:rsidRPr="003C5180">
        <w:rPr>
          <w:lang w:eastAsia="en-GB"/>
        </w:rPr>
        <w:t xml:space="preserve"> month vaccinations, </w:t>
      </w:r>
      <w:r w:rsidR="00365395" w:rsidRPr="003C5180">
        <w:rPr>
          <w:lang w:eastAsia="en-GB"/>
        </w:rPr>
        <w:t>Bexsero</w:t>
      </w:r>
      <w:r w:rsidRPr="003C5180">
        <w:rPr>
          <w:lang w:eastAsia="en-GB"/>
        </w:rPr>
        <w:t xml:space="preserve">® will be </w:t>
      </w:r>
      <w:r w:rsidR="00365395" w:rsidRPr="003C5180">
        <w:rPr>
          <w:lang w:eastAsia="en-GB"/>
        </w:rPr>
        <w:t>given in the left thigh, Infanrix IPV/Hib</w:t>
      </w:r>
      <w:r w:rsidRPr="003C5180">
        <w:rPr>
          <w:lang w:eastAsia="en-GB"/>
        </w:rPr>
        <w:t>®</w:t>
      </w:r>
      <w:r w:rsidR="00097A66">
        <w:rPr>
          <w:lang w:eastAsia="en-GB"/>
        </w:rPr>
        <w:t>/Pediacel</w:t>
      </w:r>
      <w:r w:rsidR="00097A66" w:rsidRPr="003C5180">
        <w:rPr>
          <w:lang w:eastAsia="en-GB"/>
        </w:rPr>
        <w:t>®</w:t>
      </w:r>
      <w:r w:rsidR="00097A66">
        <w:rPr>
          <w:lang w:eastAsia="en-GB"/>
        </w:rPr>
        <w:t>/Infanrix hexa</w:t>
      </w:r>
      <w:r w:rsidR="00097A66" w:rsidRPr="003C5180">
        <w:rPr>
          <w:lang w:eastAsia="en-GB"/>
        </w:rPr>
        <w:t>®</w:t>
      </w:r>
      <w:r w:rsidRPr="003C5180">
        <w:rPr>
          <w:lang w:eastAsia="en-GB"/>
        </w:rPr>
        <w:t xml:space="preserve"> will be given in the upper right thigh and </w:t>
      </w:r>
      <w:r w:rsidR="00365395" w:rsidRPr="003C5180">
        <w:rPr>
          <w:lang w:eastAsia="en-GB"/>
        </w:rPr>
        <w:t>Prevenar 13</w:t>
      </w:r>
      <w:r w:rsidRPr="003C5180">
        <w:rPr>
          <w:lang w:eastAsia="en-GB"/>
        </w:rPr>
        <w:t>® will be give</w:t>
      </w:r>
      <w:r w:rsidR="00365395" w:rsidRPr="003C5180">
        <w:rPr>
          <w:lang w:eastAsia="en-GB"/>
        </w:rPr>
        <w:t xml:space="preserve">n in the lower right thigh and Rotarix® will be given orally.  </w:t>
      </w:r>
      <w:r w:rsidRPr="003C5180">
        <w:rPr>
          <w:lang w:eastAsia="en-GB"/>
        </w:rPr>
        <w:t xml:space="preserve">For the </w:t>
      </w:r>
      <w:r w:rsidR="00735F01" w:rsidRPr="003C5180">
        <w:rPr>
          <w:lang w:eastAsia="en-GB"/>
        </w:rPr>
        <w:t>12</w:t>
      </w:r>
      <w:r w:rsidR="00735F01">
        <w:rPr>
          <w:lang w:eastAsia="en-GB"/>
        </w:rPr>
        <w:t>-</w:t>
      </w:r>
      <w:r w:rsidRPr="003C5180">
        <w:rPr>
          <w:lang w:eastAsia="en-GB"/>
        </w:rPr>
        <w:t xml:space="preserve">month vaccination, </w:t>
      </w:r>
      <w:r w:rsidR="00365395" w:rsidRPr="003C5180">
        <w:rPr>
          <w:lang w:eastAsia="en-GB"/>
        </w:rPr>
        <w:t>Bexsero</w:t>
      </w:r>
      <w:r w:rsidRPr="003C5180">
        <w:rPr>
          <w:lang w:eastAsia="en-GB"/>
        </w:rPr>
        <w:t xml:space="preserve">® will be given in the left thigh, Priorix® in the lower </w:t>
      </w:r>
      <w:r w:rsidR="00A75A6F">
        <w:rPr>
          <w:lang w:eastAsia="en-GB"/>
        </w:rPr>
        <w:t>right</w:t>
      </w:r>
      <w:r w:rsidR="00365395" w:rsidRPr="003C5180">
        <w:rPr>
          <w:lang w:eastAsia="en-GB"/>
        </w:rPr>
        <w:t xml:space="preserve"> thigh, </w:t>
      </w:r>
      <w:r w:rsidRPr="003C5180">
        <w:rPr>
          <w:lang w:eastAsia="en-GB"/>
        </w:rPr>
        <w:t xml:space="preserve">Prevenar13® in the </w:t>
      </w:r>
      <w:r w:rsidR="00365395" w:rsidRPr="003C5180">
        <w:rPr>
          <w:lang w:eastAsia="en-GB"/>
        </w:rPr>
        <w:t xml:space="preserve">upper </w:t>
      </w:r>
      <w:r w:rsidRPr="003C5180">
        <w:rPr>
          <w:lang w:eastAsia="en-GB"/>
        </w:rPr>
        <w:t>right thigh</w:t>
      </w:r>
      <w:r w:rsidR="00365395" w:rsidRPr="003C5180">
        <w:rPr>
          <w:lang w:eastAsia="en-GB"/>
        </w:rPr>
        <w:t xml:space="preserve"> and Menitorix® in the right </w:t>
      </w:r>
      <w:r w:rsidR="00A75A6F">
        <w:rPr>
          <w:lang w:eastAsia="en-GB"/>
        </w:rPr>
        <w:t>arm</w:t>
      </w:r>
      <w:r w:rsidRPr="003C5180">
        <w:rPr>
          <w:lang w:eastAsia="en-GB"/>
        </w:rPr>
        <w:t>. The skin at the injection site should be stretched flat between the thumb and forefinger with the needle inserted at a 90</w:t>
      </w:r>
      <w:r w:rsidRPr="003C5180">
        <w:rPr>
          <w:sz w:val="24"/>
          <w:vertAlign w:val="superscript"/>
          <w:lang w:eastAsia="en-GB"/>
        </w:rPr>
        <w:t>o</w:t>
      </w:r>
      <w:r w:rsidRPr="003C5180">
        <w:rPr>
          <w:lang w:eastAsia="en-GB"/>
        </w:rPr>
        <w:t xml:space="preserve"> angle to the skin. Where more than one injection is to be given in the same limb, they will be administered at least 2.5</w:t>
      </w:r>
      <w:r w:rsidR="00735F01">
        <w:rPr>
          <w:lang w:eastAsia="en-GB"/>
        </w:rPr>
        <w:t xml:space="preserve"> </w:t>
      </w:r>
      <w:r w:rsidRPr="003C5180">
        <w:rPr>
          <w:lang w:eastAsia="en-GB"/>
        </w:rPr>
        <w:t>cm apart. Standard immunisation practices and appropriate precautions for any anaphylactic reaction will be followed. Subjects will be monitored</w:t>
      </w:r>
      <w:r w:rsidR="00E05EED">
        <w:rPr>
          <w:lang w:eastAsia="en-GB"/>
        </w:rPr>
        <w:t xml:space="preserve"> in person</w:t>
      </w:r>
      <w:r w:rsidRPr="003C5180">
        <w:rPr>
          <w:lang w:eastAsia="en-GB"/>
        </w:rPr>
        <w:t xml:space="preserve"> for 20 minutes post-vaccination.</w:t>
      </w:r>
    </w:p>
    <w:p w14:paraId="7F160AD7" w14:textId="77777777" w:rsidR="00E52DCD" w:rsidRPr="003C5180" w:rsidRDefault="00E05EED" w:rsidP="00365395">
      <w:pPr>
        <w:jc w:val="both"/>
        <w:rPr>
          <w:lang w:eastAsia="en-GB"/>
        </w:rPr>
      </w:pPr>
      <w:r>
        <w:rPr>
          <w:lang w:eastAsia="en-GB"/>
        </w:rPr>
        <w:t>I</w:t>
      </w:r>
      <w:r w:rsidR="00365395" w:rsidRPr="003C5180">
        <w:rPr>
          <w:lang w:eastAsia="en-GB"/>
        </w:rPr>
        <w:t xml:space="preserve">mmunisations given to infants participating in this study will still count </w:t>
      </w:r>
      <w:r w:rsidRPr="003C5180">
        <w:rPr>
          <w:lang w:eastAsia="en-GB"/>
        </w:rPr>
        <w:t xml:space="preserve">for </w:t>
      </w:r>
      <w:r>
        <w:rPr>
          <w:lang w:eastAsia="en-GB"/>
        </w:rPr>
        <w:t xml:space="preserve">primary care </w:t>
      </w:r>
      <w:r w:rsidRPr="003C5180">
        <w:rPr>
          <w:lang w:eastAsia="en-GB"/>
        </w:rPr>
        <w:t>target</w:t>
      </w:r>
      <w:r>
        <w:rPr>
          <w:lang w:eastAsia="en-GB"/>
        </w:rPr>
        <w:t xml:space="preserve"> and remuneration</w:t>
      </w:r>
      <w:r w:rsidRPr="003C5180">
        <w:rPr>
          <w:lang w:eastAsia="en-GB"/>
        </w:rPr>
        <w:t xml:space="preserve"> purposes </w:t>
      </w:r>
      <w:r w:rsidR="00365395" w:rsidRPr="003C5180">
        <w:rPr>
          <w:lang w:eastAsia="en-GB"/>
        </w:rPr>
        <w:t xml:space="preserve">as though </w:t>
      </w:r>
      <w:r>
        <w:rPr>
          <w:lang w:eastAsia="en-GB"/>
        </w:rPr>
        <w:t xml:space="preserve">they had been </w:t>
      </w:r>
      <w:r w:rsidR="00365395" w:rsidRPr="003C5180">
        <w:rPr>
          <w:lang w:eastAsia="en-GB"/>
        </w:rPr>
        <w:t xml:space="preserve">given by the practice of the infant’s General Practitioner (GP). GPs will be informed in writing of the participation of any of their participants in the study. A copy of the letter sent to the GP will be kept with the </w:t>
      </w:r>
      <w:r w:rsidR="00AA0ECD">
        <w:rPr>
          <w:lang w:eastAsia="en-GB"/>
        </w:rPr>
        <w:t>participant’s identifiable study file.</w:t>
      </w:r>
      <w:r w:rsidR="00483A92">
        <w:rPr>
          <w:lang w:eastAsia="en-GB"/>
        </w:rPr>
        <w:t xml:space="preserve"> </w:t>
      </w:r>
      <w:r w:rsidR="00365395" w:rsidRPr="003C5180">
        <w:rPr>
          <w:lang w:eastAsia="en-GB"/>
        </w:rPr>
        <w:t xml:space="preserve">The research team will notify the GP of the vaccine details after every vaccination visit. </w:t>
      </w:r>
    </w:p>
    <w:p w14:paraId="0BAADC69" w14:textId="77777777" w:rsidR="000778D5" w:rsidRDefault="000778D5" w:rsidP="00365395">
      <w:pPr>
        <w:jc w:val="both"/>
        <w:rPr>
          <w:lang w:eastAsia="en-GB"/>
        </w:rPr>
      </w:pPr>
      <w:r w:rsidRPr="003C5180">
        <w:rPr>
          <w:lang w:eastAsia="en-GB"/>
        </w:rPr>
        <w:t xml:space="preserve">A diary card will be provided to parents at each vaccination visit to </w:t>
      </w:r>
      <w:r w:rsidR="00E05EED">
        <w:rPr>
          <w:lang w:eastAsia="en-GB"/>
        </w:rPr>
        <w:t xml:space="preserve">monitor for </w:t>
      </w:r>
      <w:r w:rsidRPr="003C5180">
        <w:rPr>
          <w:lang w:eastAsia="en-GB"/>
        </w:rPr>
        <w:t xml:space="preserve">local and generalised reactions to </w:t>
      </w:r>
      <w:r w:rsidR="00B51670">
        <w:rPr>
          <w:lang w:eastAsia="en-GB"/>
        </w:rPr>
        <w:t>Bexsero®</w:t>
      </w:r>
      <w:r w:rsidR="00A75A6F">
        <w:rPr>
          <w:lang w:eastAsia="en-GB"/>
        </w:rPr>
        <w:t xml:space="preserve"> and </w:t>
      </w:r>
      <w:r w:rsidR="00E05EED">
        <w:rPr>
          <w:lang w:eastAsia="en-GB"/>
        </w:rPr>
        <w:t xml:space="preserve">the </w:t>
      </w:r>
      <w:r w:rsidR="00A75A6F">
        <w:rPr>
          <w:lang w:eastAsia="en-GB"/>
        </w:rPr>
        <w:t>other routine vaccinations</w:t>
      </w:r>
      <w:r w:rsidRPr="003C5180">
        <w:rPr>
          <w:lang w:eastAsia="en-GB"/>
        </w:rPr>
        <w:t xml:space="preserve">. The information required will be clearly explained to the parents and the diary will be checked by research staff at the subsequent visits so that any necessary additional information can be sought. </w:t>
      </w:r>
    </w:p>
    <w:p w14:paraId="34D656D3" w14:textId="77777777" w:rsidR="00F75B8E" w:rsidRPr="00B254F4" w:rsidRDefault="00F75B8E" w:rsidP="00365395">
      <w:pPr>
        <w:jc w:val="both"/>
        <w:rPr>
          <w:u w:val="single"/>
          <w:lang w:eastAsia="en-GB"/>
        </w:rPr>
      </w:pPr>
      <w:r w:rsidRPr="00B254F4">
        <w:rPr>
          <w:u w:val="single"/>
          <w:lang w:eastAsia="en-GB"/>
        </w:rPr>
        <w:t>Paracetamol administration following vaccination</w:t>
      </w:r>
    </w:p>
    <w:p w14:paraId="1DCDBCB6" w14:textId="3FC77361" w:rsidR="00B217D1" w:rsidRDefault="00B217D1" w:rsidP="002B4B19">
      <w:pPr>
        <w:widowControl w:val="0"/>
        <w:tabs>
          <w:tab w:val="num" w:pos="426"/>
          <w:tab w:val="num" w:pos="644"/>
        </w:tabs>
        <w:spacing w:after="200"/>
        <w:ind w:left="34" w:hanging="34"/>
        <w:rPr>
          <w:lang w:eastAsia="en-GB"/>
        </w:rPr>
      </w:pPr>
      <w:r>
        <w:rPr>
          <w:lang w:eastAsia="en-GB"/>
        </w:rPr>
        <w:t>Parents will be advised to give three doses of paracetamol following administration of Bexsero®</w:t>
      </w:r>
      <w:r w:rsidR="002B4B19">
        <w:rPr>
          <w:lang w:eastAsia="en-GB"/>
        </w:rPr>
        <w:t xml:space="preserve"> </w:t>
      </w:r>
      <w:r>
        <w:rPr>
          <w:lang w:eastAsia="en-GB"/>
        </w:rPr>
        <w:t>at 4-6 hourly intervals according to UK guidance unless the infant is an in-patient in which case local policy will be followed.</w:t>
      </w:r>
      <w:r w:rsidR="004B52A6">
        <w:rPr>
          <w:lang w:eastAsia="en-GB"/>
        </w:rPr>
        <w:t xml:space="preserve"> Parents may</w:t>
      </w:r>
      <w:r w:rsidR="002B4B19">
        <w:rPr>
          <w:lang w:eastAsia="en-GB"/>
        </w:rPr>
        <w:t xml:space="preserve"> be provided with an information sheet about paracetamol following Bexsero®. </w:t>
      </w:r>
      <w:r>
        <w:rPr>
          <w:lang w:eastAsia="en-GB"/>
        </w:rPr>
        <w:t>If the infant was born at less than 32 weeks gestation an appropriate dose of paracetamol should be calculated and this</w:t>
      </w:r>
      <w:r w:rsidR="009620F6">
        <w:rPr>
          <w:lang w:eastAsia="en-GB"/>
        </w:rPr>
        <w:t xml:space="preserve"> </w:t>
      </w:r>
      <w:r>
        <w:rPr>
          <w:lang w:eastAsia="en-GB"/>
        </w:rPr>
        <w:t>should be clearly communicated to the parents</w:t>
      </w:r>
      <w:r w:rsidR="000703EC">
        <w:rPr>
          <w:lang w:eastAsia="en-GB"/>
        </w:rPr>
        <w:t xml:space="preserve"> along with a recommendation for</w:t>
      </w:r>
      <w:r w:rsidR="009701F1">
        <w:rPr>
          <w:lang w:eastAsia="en-GB"/>
        </w:rPr>
        <w:t xml:space="preserve"> 6-</w:t>
      </w:r>
      <w:r w:rsidR="000703EC">
        <w:rPr>
          <w:lang w:eastAsia="en-GB"/>
        </w:rPr>
        <w:t>8 hourly administration.</w:t>
      </w:r>
      <w:r>
        <w:rPr>
          <w:lang w:eastAsia="en-GB"/>
        </w:rPr>
        <w:t xml:space="preserve"> The paracetamol administration record in the pharmacy pack </w:t>
      </w:r>
      <w:r w:rsidR="00F16A74">
        <w:rPr>
          <w:lang w:eastAsia="en-GB"/>
        </w:rPr>
        <w:t>may</w:t>
      </w:r>
      <w:r>
        <w:rPr>
          <w:lang w:eastAsia="en-GB"/>
        </w:rPr>
        <w:t xml:space="preserve"> be u</w:t>
      </w:r>
      <w:r w:rsidR="002B4B19">
        <w:rPr>
          <w:lang w:eastAsia="en-GB"/>
        </w:rPr>
        <w:t>sed for this purpose (Appendix 3</w:t>
      </w:r>
      <w:r>
        <w:rPr>
          <w:lang w:eastAsia="en-GB"/>
        </w:rPr>
        <w:t>).</w:t>
      </w:r>
      <w:r w:rsidR="002B4B19">
        <w:rPr>
          <w:lang w:eastAsia="en-GB"/>
        </w:rPr>
        <w:t xml:space="preserve"> </w:t>
      </w:r>
      <w:r>
        <w:rPr>
          <w:lang w:eastAsia="en-GB"/>
        </w:rPr>
        <w:t>Administration of paracetamol will be systematically recorded on the diary card including number of doses given and whether given prophylactically or in response to a fever.</w:t>
      </w:r>
    </w:p>
    <w:p w14:paraId="7AEA30BA" w14:textId="77777777" w:rsidR="004571CC" w:rsidRPr="003C5180" w:rsidRDefault="008B45E8" w:rsidP="00E52DCD">
      <w:pPr>
        <w:pStyle w:val="Heading2"/>
        <w:numPr>
          <w:ilvl w:val="0"/>
          <w:numId w:val="0"/>
        </w:numPr>
        <w:ind w:left="142"/>
        <w:rPr>
          <w:rFonts w:cs="Tahoma"/>
          <w:sz w:val="24"/>
        </w:rPr>
      </w:pPr>
      <w:bookmarkStart w:id="91" w:name="_Toc470102485"/>
      <w:r w:rsidRPr="003C5180">
        <w:rPr>
          <w:rFonts w:cs="Tahoma"/>
          <w:sz w:val="24"/>
        </w:rPr>
        <w:t xml:space="preserve">12.4 </w:t>
      </w:r>
      <w:r w:rsidR="004571CC" w:rsidRPr="003C5180">
        <w:rPr>
          <w:rFonts w:cs="Tahoma"/>
          <w:sz w:val="24"/>
        </w:rPr>
        <w:t>Subsequent assessments</w:t>
      </w:r>
      <w:bookmarkEnd w:id="90"/>
      <w:bookmarkEnd w:id="91"/>
    </w:p>
    <w:p w14:paraId="055C3CE5" w14:textId="77777777" w:rsidR="00365395" w:rsidRPr="003C5180" w:rsidRDefault="00365395" w:rsidP="00365395">
      <w:pPr>
        <w:jc w:val="both"/>
        <w:rPr>
          <w:lang w:eastAsia="en-GB"/>
        </w:rPr>
      </w:pPr>
      <w:r w:rsidRPr="003C5180">
        <w:rPr>
          <w:lang w:eastAsia="en-GB"/>
        </w:rPr>
        <w:t>Prior to administering subsequent doses of vaccines, the diary cards for each infant will be reviewed and</w:t>
      </w:r>
      <w:r w:rsidR="00A82901">
        <w:rPr>
          <w:lang w:eastAsia="en-GB"/>
        </w:rPr>
        <w:t xml:space="preserve"> the parents will be asked about any episodes of illness since the previous visit.</w:t>
      </w:r>
      <w:r w:rsidRPr="003C5180">
        <w:rPr>
          <w:lang w:eastAsia="en-GB"/>
        </w:rPr>
        <w:t xml:space="preserve"> </w:t>
      </w:r>
      <w:r w:rsidR="00A82901">
        <w:rPr>
          <w:lang w:eastAsia="en-GB"/>
        </w:rPr>
        <w:t>A</w:t>
      </w:r>
      <w:r w:rsidRPr="003C5180">
        <w:rPr>
          <w:lang w:eastAsia="en-GB"/>
        </w:rPr>
        <w:t xml:space="preserve">ny adverse events will be recorded on the CRF and managed according to the protocol. Any concomitant </w:t>
      </w:r>
      <w:r w:rsidR="00220FE3" w:rsidRPr="003C5180">
        <w:rPr>
          <w:lang w:eastAsia="en-GB"/>
        </w:rPr>
        <w:t xml:space="preserve">medication </w:t>
      </w:r>
      <w:r w:rsidR="00220FE3" w:rsidRPr="001C5CF7">
        <w:rPr>
          <w:lang w:eastAsia="en-GB"/>
        </w:rPr>
        <w:t>of</w:t>
      </w:r>
      <w:r w:rsidR="001C5CF7">
        <w:rPr>
          <w:lang w:eastAsia="en-GB"/>
        </w:rPr>
        <w:t xml:space="preserve"> interest which is being taken or has been received since the last visit </w:t>
      </w:r>
      <w:r w:rsidRPr="003C5180">
        <w:rPr>
          <w:lang w:eastAsia="en-GB"/>
        </w:rPr>
        <w:t xml:space="preserve">will also be recorded in the CRF. Peripheral temperature will then be measured and the vaccine will be administered after ensuring that the infant is fit for vaccination. Following administration of each set of vaccinations, infants will be observed </w:t>
      </w:r>
      <w:r w:rsidR="00E05EED">
        <w:rPr>
          <w:lang w:eastAsia="en-GB"/>
        </w:rPr>
        <w:t xml:space="preserve">in person </w:t>
      </w:r>
      <w:r w:rsidRPr="003C5180">
        <w:rPr>
          <w:lang w:eastAsia="en-GB"/>
        </w:rPr>
        <w:t xml:space="preserve">for at least 20 minutes for any unexpected </w:t>
      </w:r>
      <w:r w:rsidR="00E05EED">
        <w:rPr>
          <w:lang w:eastAsia="en-GB"/>
        </w:rPr>
        <w:t xml:space="preserve">acute </w:t>
      </w:r>
      <w:r w:rsidRPr="003C5180">
        <w:rPr>
          <w:lang w:eastAsia="en-GB"/>
        </w:rPr>
        <w:t xml:space="preserve">adverse events. Infants who are on a neonatal unit at the time of immunisation will have 24-hours pre-vaccination and </w:t>
      </w:r>
      <w:r w:rsidR="00D954AB">
        <w:rPr>
          <w:lang w:eastAsia="en-GB"/>
        </w:rPr>
        <w:t>72</w:t>
      </w:r>
      <w:r w:rsidRPr="003C5180">
        <w:rPr>
          <w:lang w:eastAsia="en-GB"/>
        </w:rPr>
        <w:t xml:space="preserve">-hours post-vaccination observations recorded in the CRF. </w:t>
      </w:r>
      <w:r w:rsidR="0065794C">
        <w:rPr>
          <w:lang w:eastAsia="en-GB"/>
        </w:rPr>
        <w:t>AEs and SAEs will be solicited at each study visit and parents will be asked to contact the study team if the infant is seriously unwell or hospitalised between visits.</w:t>
      </w:r>
    </w:p>
    <w:p w14:paraId="3E98D144" w14:textId="77777777" w:rsidR="00721B52" w:rsidRPr="003C5180" w:rsidRDefault="008A74A6" w:rsidP="008B45E8">
      <w:pPr>
        <w:pStyle w:val="Heading2"/>
        <w:numPr>
          <w:ilvl w:val="1"/>
          <w:numId w:val="41"/>
        </w:numPr>
        <w:rPr>
          <w:rFonts w:cs="Tahoma"/>
          <w:sz w:val="24"/>
        </w:rPr>
      </w:pPr>
      <w:bookmarkStart w:id="92" w:name="_Toc261532680"/>
      <w:bookmarkStart w:id="93" w:name="_Toc470102486"/>
      <w:r w:rsidRPr="003C5180">
        <w:rPr>
          <w:rFonts w:cs="Tahoma"/>
          <w:sz w:val="24"/>
        </w:rPr>
        <w:t>Summary f</w:t>
      </w:r>
      <w:r w:rsidR="004571CC" w:rsidRPr="003C5180">
        <w:rPr>
          <w:rFonts w:cs="Tahoma"/>
          <w:sz w:val="24"/>
        </w:rPr>
        <w:t>low chart of study assessments</w:t>
      </w:r>
      <w:bookmarkEnd w:id="92"/>
      <w:bookmarkEnd w:id="93"/>
    </w:p>
    <w:p w14:paraId="07A100C3" w14:textId="77777777" w:rsidR="0065794C" w:rsidRPr="0065794C" w:rsidRDefault="00A8286E" w:rsidP="00F35468">
      <w:pPr>
        <w:rPr>
          <w:lang w:eastAsia="en-GB"/>
        </w:rPr>
      </w:pPr>
      <w:bookmarkStart w:id="94" w:name="_Toc470102487"/>
      <w:r w:rsidRPr="003C5180">
        <w:rPr>
          <w:i/>
          <w:lang w:eastAsia="en-GB"/>
        </w:rPr>
        <w:t>Refer to</w:t>
      </w:r>
      <w:r w:rsidR="00131081" w:rsidRPr="003C5180">
        <w:rPr>
          <w:i/>
          <w:lang w:eastAsia="en-GB"/>
        </w:rPr>
        <w:t xml:space="preserve"> Appendix </w:t>
      </w:r>
      <w:r w:rsidRPr="003C5180">
        <w:rPr>
          <w:i/>
          <w:lang w:eastAsia="en-GB"/>
        </w:rPr>
        <w:t>2</w:t>
      </w:r>
      <w:bookmarkEnd w:id="94"/>
      <w:r w:rsidR="00131081" w:rsidRPr="003C5180">
        <w:rPr>
          <w:i/>
          <w:lang w:eastAsia="en-GB"/>
        </w:rPr>
        <w:t xml:space="preserve"> </w:t>
      </w:r>
    </w:p>
    <w:p w14:paraId="46A6F143" w14:textId="77777777" w:rsidR="004571CC" w:rsidRPr="003C5180" w:rsidRDefault="004571CC" w:rsidP="008B45E8">
      <w:pPr>
        <w:pStyle w:val="Heading2"/>
        <w:numPr>
          <w:ilvl w:val="1"/>
          <w:numId w:val="41"/>
        </w:numPr>
        <w:rPr>
          <w:rFonts w:cs="Tahoma"/>
          <w:sz w:val="24"/>
          <w:lang w:eastAsia="en-GB"/>
        </w:rPr>
      </w:pPr>
      <w:bookmarkStart w:id="95" w:name="_Toc261532681"/>
      <w:bookmarkStart w:id="96" w:name="_Toc470102488"/>
      <w:r w:rsidRPr="003C5180">
        <w:rPr>
          <w:rFonts w:cs="Tahoma"/>
          <w:sz w:val="24"/>
          <w:lang w:eastAsia="en-GB"/>
        </w:rPr>
        <w:t>Methods</w:t>
      </w:r>
      <w:bookmarkEnd w:id="95"/>
      <w:bookmarkEnd w:id="96"/>
    </w:p>
    <w:p w14:paraId="0D826891" w14:textId="77777777" w:rsidR="00C53F32" w:rsidRPr="003C5180" w:rsidRDefault="00835F99" w:rsidP="008B45E8">
      <w:pPr>
        <w:pStyle w:val="Heading3"/>
        <w:numPr>
          <w:ilvl w:val="2"/>
          <w:numId w:val="41"/>
        </w:numPr>
        <w:rPr>
          <w:i w:val="0"/>
          <w:lang w:eastAsia="en-GB"/>
        </w:rPr>
      </w:pPr>
      <w:r w:rsidRPr="003C5180">
        <w:rPr>
          <w:i w:val="0"/>
          <w:lang w:eastAsia="en-GB"/>
        </w:rPr>
        <w:t xml:space="preserve"> </w:t>
      </w:r>
      <w:r w:rsidRPr="003C5180">
        <w:rPr>
          <w:i w:val="0"/>
          <w:lang w:eastAsia="en-GB"/>
        </w:rPr>
        <w:tab/>
      </w:r>
      <w:bookmarkStart w:id="97" w:name="_Toc470102489"/>
      <w:r w:rsidR="00C53F32" w:rsidRPr="003C5180">
        <w:rPr>
          <w:i w:val="0"/>
          <w:lang w:eastAsia="en-GB"/>
        </w:rPr>
        <w:t>Samples</w:t>
      </w:r>
      <w:bookmarkEnd w:id="97"/>
      <w:r w:rsidR="00C53F32" w:rsidRPr="003C5180">
        <w:rPr>
          <w:i w:val="0"/>
          <w:lang w:eastAsia="en-GB"/>
        </w:rPr>
        <w:t xml:space="preserve"> </w:t>
      </w:r>
    </w:p>
    <w:p w14:paraId="5EF23241" w14:textId="77777777" w:rsidR="00611F37" w:rsidRPr="003C5180" w:rsidRDefault="00611F37" w:rsidP="008B45E8">
      <w:pPr>
        <w:pStyle w:val="Heading3"/>
        <w:numPr>
          <w:ilvl w:val="2"/>
          <w:numId w:val="41"/>
        </w:numPr>
        <w:rPr>
          <w:i w:val="0"/>
          <w:lang w:eastAsia="en-GB"/>
        </w:rPr>
      </w:pPr>
      <w:bookmarkStart w:id="98" w:name="_Toc470102490"/>
      <w:r w:rsidRPr="003C5180">
        <w:rPr>
          <w:i w:val="0"/>
          <w:lang w:eastAsia="en-GB"/>
        </w:rPr>
        <w:t xml:space="preserve">Obtaining, labelling, storing </w:t>
      </w:r>
      <w:r w:rsidR="00093682" w:rsidRPr="003C5180">
        <w:rPr>
          <w:i w:val="0"/>
          <w:lang w:eastAsia="en-GB"/>
        </w:rPr>
        <w:t>at local site</w:t>
      </w:r>
      <w:bookmarkEnd w:id="98"/>
    </w:p>
    <w:p w14:paraId="0C7ECE91" w14:textId="77777777" w:rsidR="005239CB" w:rsidRDefault="005239CB" w:rsidP="00586EF2">
      <w:pPr>
        <w:numPr>
          <w:ilvl w:val="0"/>
          <w:numId w:val="18"/>
        </w:numPr>
        <w:spacing w:after="0" w:line="240" w:lineRule="auto"/>
        <w:ind w:left="714" w:hanging="357"/>
        <w:rPr>
          <w:lang w:eastAsia="en-GB"/>
        </w:rPr>
      </w:pPr>
      <w:r>
        <w:rPr>
          <w:lang w:eastAsia="en-GB"/>
        </w:rPr>
        <w:t>Blood sampling will</w:t>
      </w:r>
      <w:r w:rsidR="00E05EED">
        <w:rPr>
          <w:lang w:eastAsia="en-GB"/>
        </w:rPr>
        <w:t xml:space="preserve"> </w:t>
      </w:r>
      <w:r w:rsidR="00FE18BB">
        <w:rPr>
          <w:lang w:eastAsia="en-GB"/>
        </w:rPr>
        <w:t>be postponed for at least 48 hours after the end of any course of antibiotics. If this is not possible,</w:t>
      </w:r>
      <w:r w:rsidR="00D954AB">
        <w:rPr>
          <w:lang w:eastAsia="en-GB"/>
        </w:rPr>
        <w:t xml:space="preserve"> this will be recorded as a protocol deviation and </w:t>
      </w:r>
      <w:r w:rsidR="00FE18BB">
        <w:rPr>
          <w:lang w:eastAsia="en-GB"/>
        </w:rPr>
        <w:t>a record should be taken of the antibiotic regime being received at the time of blood sampling.</w:t>
      </w:r>
    </w:p>
    <w:p w14:paraId="77C75A2D" w14:textId="77777777" w:rsidR="00611F37" w:rsidRPr="003C5180" w:rsidRDefault="002746E2" w:rsidP="00586EF2">
      <w:pPr>
        <w:numPr>
          <w:ilvl w:val="0"/>
          <w:numId w:val="18"/>
        </w:numPr>
        <w:spacing w:after="0" w:line="240" w:lineRule="auto"/>
        <w:ind w:left="714" w:hanging="357"/>
        <w:rPr>
          <w:lang w:eastAsia="en-GB"/>
        </w:rPr>
      </w:pPr>
      <w:r w:rsidRPr="003C5180">
        <w:rPr>
          <w:lang w:eastAsia="en-GB"/>
        </w:rPr>
        <w:t>Blood sampling will be obtained by venepuncture where possible. Finger prick or heel prick may be attempted</w:t>
      </w:r>
      <w:r w:rsidR="00B54B2B">
        <w:rPr>
          <w:lang w:eastAsia="en-GB"/>
        </w:rPr>
        <w:t xml:space="preserve"> only</w:t>
      </w:r>
      <w:r w:rsidRPr="003C5180">
        <w:rPr>
          <w:lang w:eastAsia="en-GB"/>
        </w:rPr>
        <w:t xml:space="preserve"> as a last resort if venepuncture is not possible. </w:t>
      </w:r>
      <w:r w:rsidR="009B127A">
        <w:rPr>
          <w:lang w:eastAsia="en-GB"/>
        </w:rPr>
        <w:t xml:space="preserve">Topical application of </w:t>
      </w:r>
      <w:r w:rsidRPr="003C5180">
        <w:rPr>
          <w:lang w:eastAsia="en-GB"/>
        </w:rPr>
        <w:t xml:space="preserve">anaesthetic cream (EMLA or Ametop) </w:t>
      </w:r>
      <w:r w:rsidR="009B127A">
        <w:rPr>
          <w:lang w:eastAsia="en-GB"/>
        </w:rPr>
        <w:t xml:space="preserve">and/or a milk feed or oral sucrose </w:t>
      </w:r>
      <w:r w:rsidRPr="003C5180">
        <w:rPr>
          <w:lang w:eastAsia="en-GB"/>
        </w:rPr>
        <w:t xml:space="preserve">may be offered to all subjects aged </w:t>
      </w:r>
      <w:r w:rsidR="009B127A">
        <w:rPr>
          <w:lang w:eastAsia="en-GB"/>
        </w:rPr>
        <w:t>1</w:t>
      </w:r>
      <w:r w:rsidR="009B127A" w:rsidRPr="003C5180">
        <w:rPr>
          <w:lang w:eastAsia="en-GB"/>
        </w:rPr>
        <w:t xml:space="preserve"> </w:t>
      </w:r>
      <w:r w:rsidRPr="003C5180">
        <w:rPr>
          <w:lang w:eastAsia="en-GB"/>
        </w:rPr>
        <w:t xml:space="preserve">month corrected gestational age or above at the </w:t>
      </w:r>
      <w:r w:rsidR="009B127A">
        <w:rPr>
          <w:lang w:eastAsia="en-GB"/>
        </w:rPr>
        <w:t xml:space="preserve">time of </w:t>
      </w:r>
      <w:r w:rsidRPr="003C5180">
        <w:rPr>
          <w:lang w:eastAsia="en-GB"/>
        </w:rPr>
        <w:t xml:space="preserve">intended </w:t>
      </w:r>
      <w:r w:rsidR="009B127A">
        <w:rPr>
          <w:lang w:eastAsia="en-GB"/>
        </w:rPr>
        <w:t>venepuncture</w:t>
      </w:r>
      <w:r w:rsidR="009B127A" w:rsidRPr="003C5180">
        <w:rPr>
          <w:lang w:eastAsia="en-GB"/>
        </w:rPr>
        <w:t xml:space="preserve"> </w:t>
      </w:r>
      <w:r w:rsidRPr="003C5180">
        <w:rPr>
          <w:lang w:eastAsia="en-GB"/>
        </w:rPr>
        <w:t xml:space="preserve">site to minimise discomfort. </w:t>
      </w:r>
    </w:p>
    <w:p w14:paraId="35DB77D2" w14:textId="77777777" w:rsidR="00611F37" w:rsidRPr="003C5180" w:rsidRDefault="00AD4946" w:rsidP="00586EF2">
      <w:pPr>
        <w:numPr>
          <w:ilvl w:val="0"/>
          <w:numId w:val="18"/>
        </w:numPr>
        <w:spacing w:after="0" w:line="240" w:lineRule="auto"/>
        <w:ind w:left="714" w:hanging="357"/>
        <w:rPr>
          <w:lang w:eastAsia="en-GB"/>
        </w:rPr>
      </w:pPr>
      <w:r>
        <w:rPr>
          <w:lang w:eastAsia="en-GB"/>
        </w:rPr>
        <w:t xml:space="preserve">Up to </w:t>
      </w:r>
      <w:r w:rsidR="00007E5F" w:rsidRPr="003C5180">
        <w:rPr>
          <w:lang w:eastAsia="en-GB"/>
        </w:rPr>
        <w:t>3</w:t>
      </w:r>
      <w:r w:rsidR="009B127A">
        <w:rPr>
          <w:lang w:eastAsia="en-GB"/>
        </w:rPr>
        <w:t xml:space="preserve"> </w:t>
      </w:r>
      <w:r w:rsidR="00007E5F" w:rsidRPr="003C5180">
        <w:rPr>
          <w:lang w:eastAsia="en-GB"/>
        </w:rPr>
        <w:t>m</w:t>
      </w:r>
      <w:r w:rsidR="009B127A">
        <w:rPr>
          <w:lang w:eastAsia="en-GB"/>
        </w:rPr>
        <w:t>L</w:t>
      </w:r>
      <w:r w:rsidR="00007E5F" w:rsidRPr="003C5180">
        <w:rPr>
          <w:lang w:eastAsia="en-GB"/>
        </w:rPr>
        <w:t xml:space="preserve"> of b</w:t>
      </w:r>
      <w:r w:rsidR="002746E2" w:rsidRPr="003C5180">
        <w:rPr>
          <w:lang w:eastAsia="en-GB"/>
        </w:rPr>
        <w:t xml:space="preserve">lood will be collected </w:t>
      </w:r>
      <w:r w:rsidR="00007E5F" w:rsidRPr="003C5180">
        <w:rPr>
          <w:lang w:eastAsia="en-GB"/>
        </w:rPr>
        <w:t>into a 5</w:t>
      </w:r>
      <w:r w:rsidR="009B127A">
        <w:rPr>
          <w:lang w:eastAsia="en-GB"/>
        </w:rPr>
        <w:t xml:space="preserve"> </w:t>
      </w:r>
      <w:r w:rsidR="00007E5F" w:rsidRPr="003C5180">
        <w:rPr>
          <w:lang w:eastAsia="en-GB"/>
        </w:rPr>
        <w:t>m</w:t>
      </w:r>
      <w:r w:rsidR="009B127A">
        <w:rPr>
          <w:lang w:eastAsia="en-GB"/>
        </w:rPr>
        <w:t>L</w:t>
      </w:r>
      <w:r w:rsidR="002746E2" w:rsidRPr="003C5180">
        <w:rPr>
          <w:lang w:eastAsia="en-GB"/>
        </w:rPr>
        <w:t xml:space="preserve"> </w:t>
      </w:r>
      <w:r w:rsidR="00007E5F" w:rsidRPr="003C5180">
        <w:rPr>
          <w:lang w:eastAsia="en-GB"/>
        </w:rPr>
        <w:t>serum separating tube.</w:t>
      </w:r>
    </w:p>
    <w:p w14:paraId="3F90765A" w14:textId="77777777" w:rsidR="002746E2" w:rsidRPr="003C5180" w:rsidRDefault="002746E2" w:rsidP="00586EF2">
      <w:pPr>
        <w:numPr>
          <w:ilvl w:val="0"/>
          <w:numId w:val="18"/>
        </w:numPr>
        <w:spacing w:after="0" w:line="240" w:lineRule="auto"/>
        <w:ind w:left="714" w:hanging="357"/>
        <w:rPr>
          <w:lang w:eastAsia="en-GB"/>
        </w:rPr>
      </w:pPr>
      <w:r w:rsidRPr="003C5180">
        <w:rPr>
          <w:lang w:eastAsia="en-GB"/>
        </w:rPr>
        <w:t xml:space="preserve">The research staff will </w:t>
      </w:r>
      <w:r w:rsidR="00FE18BB">
        <w:rPr>
          <w:lang w:eastAsia="en-GB"/>
        </w:rPr>
        <w:t>clearly mark the tube with the participant’s study number</w:t>
      </w:r>
      <w:r w:rsidR="009B127A">
        <w:rPr>
          <w:lang w:eastAsia="en-GB"/>
        </w:rPr>
        <w:t>, visit number, and date of sampling</w:t>
      </w:r>
      <w:r w:rsidRPr="003C5180">
        <w:rPr>
          <w:lang w:eastAsia="en-GB"/>
        </w:rPr>
        <w:t>.</w:t>
      </w:r>
      <w:r w:rsidR="009B127A">
        <w:rPr>
          <w:lang w:eastAsia="en-GB"/>
        </w:rPr>
        <w:t xml:space="preserve"> Dedicated study labelling stickers will facilitate this process</w:t>
      </w:r>
    </w:p>
    <w:p w14:paraId="241923FA" w14:textId="77777777" w:rsidR="00C53F32" w:rsidRPr="003C5180" w:rsidRDefault="00C53F32" w:rsidP="009B5447">
      <w:pPr>
        <w:spacing w:after="0" w:line="240" w:lineRule="auto"/>
        <w:ind w:left="714"/>
        <w:rPr>
          <w:lang w:eastAsia="en-GB"/>
        </w:rPr>
      </w:pPr>
    </w:p>
    <w:p w14:paraId="7385FA05" w14:textId="77777777" w:rsidR="00C53F32" w:rsidRPr="003C5180" w:rsidRDefault="009B5447" w:rsidP="008B45E8">
      <w:pPr>
        <w:pStyle w:val="Heading4"/>
        <w:numPr>
          <w:ilvl w:val="3"/>
          <w:numId w:val="41"/>
        </w:numPr>
        <w:rPr>
          <w:rFonts w:ascii="Calibri" w:hAnsi="Calibri"/>
          <w:i w:val="0"/>
          <w:iCs w:val="0"/>
          <w:color w:val="auto"/>
          <w:sz w:val="23"/>
          <w:lang w:eastAsia="en-GB"/>
        </w:rPr>
      </w:pPr>
      <w:r w:rsidRPr="003C5180">
        <w:rPr>
          <w:rFonts w:ascii="Calibri" w:hAnsi="Calibri"/>
          <w:i w:val="0"/>
          <w:iCs w:val="0"/>
          <w:color w:val="auto"/>
          <w:sz w:val="23"/>
          <w:lang w:eastAsia="en-GB"/>
        </w:rPr>
        <w:t>Transporting</w:t>
      </w:r>
      <w:r w:rsidR="00C53F32" w:rsidRPr="003C5180">
        <w:rPr>
          <w:rFonts w:ascii="Calibri" w:hAnsi="Calibri"/>
          <w:i w:val="0"/>
          <w:iCs w:val="0"/>
          <w:color w:val="auto"/>
          <w:sz w:val="23"/>
          <w:lang w:eastAsia="en-GB"/>
        </w:rPr>
        <w:t xml:space="preserve"> samples</w:t>
      </w:r>
      <w:r w:rsidR="00093682" w:rsidRPr="003C5180">
        <w:rPr>
          <w:rFonts w:ascii="Calibri" w:hAnsi="Calibri"/>
          <w:i w:val="0"/>
          <w:iCs w:val="0"/>
          <w:color w:val="auto"/>
          <w:sz w:val="23"/>
          <w:lang w:eastAsia="en-GB"/>
        </w:rPr>
        <w:t xml:space="preserve"> to </w:t>
      </w:r>
      <w:r w:rsidR="007655F3">
        <w:rPr>
          <w:rFonts w:ascii="Calibri" w:hAnsi="Calibri"/>
          <w:i w:val="0"/>
          <w:iCs w:val="0"/>
          <w:color w:val="auto"/>
          <w:sz w:val="23"/>
          <w:lang w:eastAsia="en-GB"/>
        </w:rPr>
        <w:t>SGUL</w:t>
      </w:r>
    </w:p>
    <w:p w14:paraId="75D5879A" w14:textId="77777777" w:rsidR="00093682" w:rsidRPr="003C5180" w:rsidRDefault="00093682" w:rsidP="00093682">
      <w:pPr>
        <w:spacing w:after="0" w:line="240" w:lineRule="auto"/>
        <w:ind w:left="1506"/>
        <w:rPr>
          <w:highlight w:val="green"/>
          <w:lang w:eastAsia="en-GB"/>
        </w:rPr>
      </w:pPr>
    </w:p>
    <w:p w14:paraId="1BC00D78" w14:textId="77777777" w:rsidR="00C53F32" w:rsidRPr="003C5180" w:rsidRDefault="00093682" w:rsidP="00586EF2">
      <w:pPr>
        <w:numPr>
          <w:ilvl w:val="0"/>
          <w:numId w:val="19"/>
        </w:numPr>
        <w:spacing w:after="0" w:line="240" w:lineRule="auto"/>
        <w:rPr>
          <w:lang w:eastAsia="en-GB"/>
        </w:rPr>
      </w:pPr>
      <w:r w:rsidRPr="003C5180">
        <w:rPr>
          <w:lang w:eastAsia="en-GB"/>
        </w:rPr>
        <w:t>Samples will be packaged in hard plastic containers within a cardboard box which will then be placed in Royal Mail packaging for guaranteed next day delivery</w:t>
      </w:r>
      <w:r w:rsidR="00471918">
        <w:rPr>
          <w:lang w:eastAsia="en-GB"/>
        </w:rPr>
        <w:t xml:space="preserve">. </w:t>
      </w:r>
      <w:r w:rsidR="00B7587A">
        <w:rPr>
          <w:lang w:eastAsia="en-GB"/>
        </w:rPr>
        <w:t xml:space="preserve">This will accord with regulations for posting of biological specimens through public post. </w:t>
      </w:r>
      <w:r w:rsidR="00471918">
        <w:rPr>
          <w:lang w:eastAsia="en-GB"/>
        </w:rPr>
        <w:t xml:space="preserve">The preference will be for samples to be sent on the </w:t>
      </w:r>
      <w:r w:rsidR="0056018B">
        <w:rPr>
          <w:lang w:eastAsia="en-GB"/>
        </w:rPr>
        <w:t xml:space="preserve">same </w:t>
      </w:r>
      <w:r w:rsidR="00471918">
        <w:rPr>
          <w:lang w:eastAsia="en-GB"/>
        </w:rPr>
        <w:t xml:space="preserve">day they are obtained, however if this is not </w:t>
      </w:r>
      <w:r w:rsidR="00332EDA">
        <w:rPr>
          <w:lang w:eastAsia="en-GB"/>
        </w:rPr>
        <w:t>possible</w:t>
      </w:r>
      <w:r w:rsidR="00471918">
        <w:rPr>
          <w:lang w:eastAsia="en-GB"/>
        </w:rPr>
        <w:t xml:space="preserve"> they should be stored in the fridge</w:t>
      </w:r>
      <w:r w:rsidR="0065794C">
        <w:rPr>
          <w:lang w:eastAsia="en-GB"/>
        </w:rPr>
        <w:t>.</w:t>
      </w:r>
      <w:r w:rsidR="00A75A6F">
        <w:rPr>
          <w:lang w:eastAsia="en-GB"/>
        </w:rPr>
        <w:t xml:space="preserve"> </w:t>
      </w:r>
      <w:r w:rsidR="00471918">
        <w:rPr>
          <w:lang w:eastAsia="en-GB"/>
        </w:rPr>
        <w:t xml:space="preserve">Samples must be </w:t>
      </w:r>
      <w:r w:rsidR="009B127A">
        <w:rPr>
          <w:lang w:eastAsia="en-GB"/>
        </w:rPr>
        <w:t xml:space="preserve">posted </w:t>
      </w:r>
      <w:r w:rsidR="00EC0F73">
        <w:rPr>
          <w:lang w:eastAsia="en-GB"/>
        </w:rPr>
        <w:t xml:space="preserve">with consideration </w:t>
      </w:r>
      <w:r w:rsidR="00471918">
        <w:rPr>
          <w:lang w:eastAsia="en-GB"/>
        </w:rPr>
        <w:t>to</w:t>
      </w:r>
      <w:r w:rsidR="009B127A">
        <w:rPr>
          <w:lang w:eastAsia="en-GB"/>
        </w:rPr>
        <w:t xml:space="preserve"> ensure</w:t>
      </w:r>
      <w:r w:rsidR="00471918">
        <w:rPr>
          <w:lang w:eastAsia="en-GB"/>
        </w:rPr>
        <w:t xml:space="preserve"> </w:t>
      </w:r>
      <w:r w:rsidR="009B127A">
        <w:rPr>
          <w:lang w:eastAsia="en-GB"/>
        </w:rPr>
        <w:t xml:space="preserve">that they </w:t>
      </w:r>
      <w:r w:rsidR="00EC0F73">
        <w:rPr>
          <w:lang w:eastAsia="en-GB"/>
        </w:rPr>
        <w:t xml:space="preserve">will </w:t>
      </w:r>
      <w:r w:rsidR="00471918">
        <w:rPr>
          <w:lang w:eastAsia="en-GB"/>
        </w:rPr>
        <w:t xml:space="preserve">arrive </w:t>
      </w:r>
      <w:r w:rsidR="00EC0F73">
        <w:rPr>
          <w:lang w:eastAsia="en-GB"/>
        </w:rPr>
        <w:t xml:space="preserve">the next day on or </w:t>
      </w:r>
      <w:r w:rsidR="00471918">
        <w:rPr>
          <w:lang w:eastAsia="en-GB"/>
        </w:rPr>
        <w:t xml:space="preserve">between </w:t>
      </w:r>
      <w:r w:rsidR="00EC0F73">
        <w:rPr>
          <w:lang w:eastAsia="en-GB"/>
        </w:rPr>
        <w:t xml:space="preserve">a </w:t>
      </w:r>
      <w:r w:rsidR="00471918">
        <w:rPr>
          <w:lang w:eastAsia="en-GB"/>
        </w:rPr>
        <w:t xml:space="preserve">Monday and </w:t>
      </w:r>
      <w:r w:rsidR="00EC0F73">
        <w:rPr>
          <w:lang w:eastAsia="en-GB"/>
        </w:rPr>
        <w:t xml:space="preserve">a </w:t>
      </w:r>
      <w:r w:rsidR="00471918">
        <w:rPr>
          <w:lang w:eastAsia="en-GB"/>
        </w:rPr>
        <w:t>Friday (</w:t>
      </w:r>
      <w:r w:rsidR="00EC0F73">
        <w:rPr>
          <w:lang w:eastAsia="en-GB"/>
        </w:rPr>
        <w:t>i</w:t>
      </w:r>
      <w:r w:rsidR="00A04B6F">
        <w:rPr>
          <w:lang w:eastAsia="en-GB"/>
        </w:rPr>
        <w:t>.</w:t>
      </w:r>
      <w:r w:rsidR="00EC0F73">
        <w:rPr>
          <w:lang w:eastAsia="en-GB"/>
        </w:rPr>
        <w:t>e</w:t>
      </w:r>
      <w:r w:rsidR="00A04B6F">
        <w:rPr>
          <w:lang w:eastAsia="en-GB"/>
        </w:rPr>
        <w:t>.</w:t>
      </w:r>
      <w:r w:rsidR="00471918">
        <w:rPr>
          <w:lang w:eastAsia="en-GB"/>
        </w:rPr>
        <w:t xml:space="preserve"> no samples to be sent on a Friday or Saturday).</w:t>
      </w:r>
    </w:p>
    <w:p w14:paraId="31D16513" w14:textId="77777777" w:rsidR="00C53F32" w:rsidRPr="003C5180" w:rsidRDefault="00093682" w:rsidP="00586EF2">
      <w:pPr>
        <w:numPr>
          <w:ilvl w:val="0"/>
          <w:numId w:val="19"/>
        </w:numPr>
        <w:spacing w:after="0" w:line="240" w:lineRule="auto"/>
        <w:rPr>
          <w:lang w:eastAsia="en-GB"/>
        </w:rPr>
      </w:pPr>
      <w:r w:rsidRPr="003C5180">
        <w:rPr>
          <w:lang w:eastAsia="en-GB"/>
        </w:rPr>
        <w:t xml:space="preserve">The samples will be transported at ambient temperature and will not need monitoring </w:t>
      </w:r>
    </w:p>
    <w:p w14:paraId="491F5162" w14:textId="77777777" w:rsidR="00093682" w:rsidRPr="003C5180" w:rsidRDefault="00093682" w:rsidP="00586EF2">
      <w:pPr>
        <w:numPr>
          <w:ilvl w:val="0"/>
          <w:numId w:val="19"/>
        </w:numPr>
        <w:spacing w:after="0" w:line="240" w:lineRule="auto"/>
        <w:rPr>
          <w:lang w:eastAsia="en-GB"/>
        </w:rPr>
      </w:pPr>
      <w:r w:rsidRPr="003C5180">
        <w:rPr>
          <w:lang w:eastAsia="en-GB"/>
        </w:rPr>
        <w:t xml:space="preserve">Before sending the sample local staff will email the coordinating team at </w:t>
      </w:r>
      <w:r w:rsidR="007655F3">
        <w:rPr>
          <w:lang w:eastAsia="en-GB"/>
        </w:rPr>
        <w:t>SGUL</w:t>
      </w:r>
      <w:r w:rsidRPr="003C5180">
        <w:rPr>
          <w:lang w:eastAsia="en-GB"/>
        </w:rPr>
        <w:t xml:space="preserve"> to inform them that a sample is being despatched and the tracking number of the sample so that any missing samples can be traced. </w:t>
      </w:r>
    </w:p>
    <w:p w14:paraId="51820161" w14:textId="77777777" w:rsidR="00C53F32" w:rsidRPr="003C5180" w:rsidRDefault="00093682" w:rsidP="00586EF2">
      <w:pPr>
        <w:numPr>
          <w:ilvl w:val="0"/>
          <w:numId w:val="19"/>
        </w:numPr>
        <w:spacing w:after="0" w:line="240" w:lineRule="auto"/>
        <w:ind w:left="714" w:hanging="357"/>
        <w:rPr>
          <w:lang w:eastAsia="en-GB"/>
        </w:rPr>
      </w:pPr>
      <w:r w:rsidRPr="003C5180">
        <w:rPr>
          <w:lang w:eastAsia="en-GB"/>
        </w:rPr>
        <w:t xml:space="preserve">When samples arrive at </w:t>
      </w:r>
      <w:r w:rsidR="0073422C" w:rsidRPr="003C5180">
        <w:rPr>
          <w:lang w:eastAsia="en-GB"/>
        </w:rPr>
        <w:t>SGUL</w:t>
      </w:r>
      <w:r w:rsidRPr="003C5180">
        <w:rPr>
          <w:lang w:eastAsia="en-GB"/>
        </w:rPr>
        <w:t>, a standard email of receipt will be returned to the local site sending the sample</w:t>
      </w:r>
    </w:p>
    <w:p w14:paraId="037BCBD8" w14:textId="77777777" w:rsidR="00093682" w:rsidRPr="003C5180" w:rsidRDefault="00093682" w:rsidP="00093682">
      <w:pPr>
        <w:spacing w:after="0" w:line="240" w:lineRule="auto"/>
        <w:ind w:left="357"/>
        <w:rPr>
          <w:lang w:eastAsia="en-GB"/>
        </w:rPr>
      </w:pPr>
    </w:p>
    <w:p w14:paraId="3F47DCA2" w14:textId="77777777" w:rsidR="00093682" w:rsidRPr="003C5180" w:rsidRDefault="00093682" w:rsidP="008B45E8">
      <w:pPr>
        <w:pStyle w:val="Heading4"/>
        <w:numPr>
          <w:ilvl w:val="3"/>
          <w:numId w:val="41"/>
        </w:numPr>
        <w:rPr>
          <w:rFonts w:ascii="Calibri" w:hAnsi="Calibri"/>
          <w:i w:val="0"/>
          <w:iCs w:val="0"/>
          <w:color w:val="auto"/>
          <w:sz w:val="23"/>
          <w:lang w:eastAsia="en-GB"/>
        </w:rPr>
      </w:pPr>
      <w:r w:rsidRPr="003C5180">
        <w:rPr>
          <w:rFonts w:ascii="Calibri" w:hAnsi="Calibri"/>
          <w:i w:val="0"/>
          <w:iCs w:val="0"/>
          <w:color w:val="auto"/>
          <w:sz w:val="23"/>
          <w:lang w:eastAsia="en-GB"/>
        </w:rPr>
        <w:t xml:space="preserve">Processing samples at </w:t>
      </w:r>
      <w:r w:rsidR="0073422C" w:rsidRPr="003C5180">
        <w:rPr>
          <w:rFonts w:ascii="Calibri" w:hAnsi="Calibri"/>
          <w:i w:val="0"/>
          <w:iCs w:val="0"/>
          <w:color w:val="auto"/>
          <w:sz w:val="23"/>
          <w:lang w:eastAsia="en-GB"/>
        </w:rPr>
        <w:t>SGUL</w:t>
      </w:r>
    </w:p>
    <w:p w14:paraId="42E81169" w14:textId="77777777" w:rsidR="00093682" w:rsidRPr="003C5180" w:rsidRDefault="00093682" w:rsidP="00093682">
      <w:pPr>
        <w:spacing w:after="0" w:line="240" w:lineRule="auto"/>
        <w:ind w:left="426"/>
        <w:rPr>
          <w:lang w:eastAsia="en-GB"/>
        </w:rPr>
      </w:pPr>
    </w:p>
    <w:p w14:paraId="5BF0CBD3" w14:textId="0B62584B" w:rsidR="00483A92" w:rsidRPr="003C5180" w:rsidRDefault="00093682" w:rsidP="00586EF2">
      <w:pPr>
        <w:numPr>
          <w:ilvl w:val="1"/>
          <w:numId w:val="19"/>
        </w:numPr>
        <w:spacing w:after="0" w:line="240" w:lineRule="auto"/>
        <w:ind w:left="709" w:hanging="283"/>
        <w:rPr>
          <w:lang w:eastAsia="en-GB"/>
        </w:rPr>
      </w:pPr>
      <w:r w:rsidRPr="003C5180">
        <w:rPr>
          <w:lang w:eastAsia="en-GB"/>
        </w:rPr>
        <w:t>Sample</w:t>
      </w:r>
      <w:r w:rsidR="0073422C" w:rsidRPr="003C5180">
        <w:rPr>
          <w:lang w:eastAsia="en-GB"/>
        </w:rPr>
        <w:t xml:space="preserve">s will be centrifuged within </w:t>
      </w:r>
      <w:r w:rsidR="00EC0F73">
        <w:rPr>
          <w:lang w:eastAsia="en-GB"/>
        </w:rPr>
        <w:t>4</w:t>
      </w:r>
      <w:r w:rsidR="00EC0F73" w:rsidRPr="003C5180">
        <w:rPr>
          <w:lang w:eastAsia="en-GB"/>
        </w:rPr>
        <w:t xml:space="preserve"> </w:t>
      </w:r>
      <w:r w:rsidRPr="003C5180">
        <w:rPr>
          <w:lang w:eastAsia="en-GB"/>
        </w:rPr>
        <w:t xml:space="preserve">hours of being </w:t>
      </w:r>
      <w:r w:rsidR="0073422C" w:rsidRPr="003C5180">
        <w:rPr>
          <w:lang w:eastAsia="en-GB"/>
        </w:rPr>
        <w:t>received by SGUL study</w:t>
      </w:r>
      <w:r w:rsidRPr="003C5180">
        <w:rPr>
          <w:lang w:eastAsia="en-GB"/>
        </w:rPr>
        <w:t xml:space="preserve"> staff and the serum will be pipetted into</w:t>
      </w:r>
      <w:r w:rsidR="00FE18BB">
        <w:rPr>
          <w:lang w:eastAsia="en-GB"/>
        </w:rPr>
        <w:t xml:space="preserve"> cryovials. The first </w:t>
      </w:r>
      <w:r w:rsidR="009701F1">
        <w:rPr>
          <w:lang w:eastAsia="en-GB"/>
        </w:rPr>
        <w:t>0.5</w:t>
      </w:r>
      <w:r w:rsidR="00EC0F73">
        <w:rPr>
          <w:lang w:eastAsia="en-GB"/>
        </w:rPr>
        <w:t xml:space="preserve"> </w:t>
      </w:r>
      <w:r w:rsidR="00FE18BB">
        <w:rPr>
          <w:lang w:eastAsia="en-GB"/>
        </w:rPr>
        <w:t>m</w:t>
      </w:r>
      <w:r w:rsidR="00EC0F73">
        <w:rPr>
          <w:lang w:eastAsia="en-GB"/>
        </w:rPr>
        <w:t>L</w:t>
      </w:r>
      <w:r w:rsidR="00FE18BB">
        <w:rPr>
          <w:lang w:eastAsia="en-GB"/>
        </w:rPr>
        <w:t xml:space="preserve"> of serum will be placed in a cryovial for transfer to </w:t>
      </w:r>
      <w:r w:rsidR="00EC0F73">
        <w:rPr>
          <w:lang w:eastAsia="en-GB"/>
        </w:rPr>
        <w:t xml:space="preserve">PHE laboratory, </w:t>
      </w:r>
      <w:r w:rsidR="00FE18BB">
        <w:rPr>
          <w:lang w:eastAsia="en-GB"/>
        </w:rPr>
        <w:t>Manchester</w:t>
      </w:r>
      <w:r w:rsidR="00EC0F73">
        <w:rPr>
          <w:lang w:eastAsia="en-GB"/>
        </w:rPr>
        <w:t>,</w:t>
      </w:r>
      <w:r w:rsidR="00FE18BB">
        <w:rPr>
          <w:lang w:eastAsia="en-GB"/>
        </w:rPr>
        <w:t xml:space="preserve"> and the remainder will be retained at SGUL in case a sample is lost, or</w:t>
      </w:r>
      <w:r w:rsidR="00EC0F73">
        <w:rPr>
          <w:lang w:eastAsia="en-GB"/>
        </w:rPr>
        <w:t>, subject to parental consent,</w:t>
      </w:r>
      <w:r w:rsidR="00FE18BB">
        <w:rPr>
          <w:lang w:eastAsia="en-GB"/>
        </w:rPr>
        <w:t xml:space="preserve"> to be used in future</w:t>
      </w:r>
      <w:r w:rsidR="00EC0F73">
        <w:rPr>
          <w:lang w:eastAsia="en-GB"/>
        </w:rPr>
        <w:t xml:space="preserve"> ethically-approved</w:t>
      </w:r>
      <w:r w:rsidR="00FE18BB">
        <w:rPr>
          <w:lang w:eastAsia="en-GB"/>
        </w:rPr>
        <w:t xml:space="preserve"> research. </w:t>
      </w:r>
      <w:r w:rsidRPr="003C5180">
        <w:rPr>
          <w:lang w:eastAsia="en-GB"/>
        </w:rPr>
        <w:t xml:space="preserve"> </w:t>
      </w:r>
      <w:r w:rsidR="00FE18BB">
        <w:rPr>
          <w:lang w:eastAsia="en-GB"/>
        </w:rPr>
        <w:t>Parents will be asked specifically to consent for the retention of samples</w:t>
      </w:r>
      <w:r w:rsidR="00EC0F73">
        <w:rPr>
          <w:lang w:eastAsia="en-GB"/>
        </w:rPr>
        <w:t xml:space="preserve"> for such purposes</w:t>
      </w:r>
      <w:r w:rsidR="00FE18BB">
        <w:rPr>
          <w:lang w:eastAsia="en-GB"/>
        </w:rPr>
        <w:t xml:space="preserve">. All cryovials will be </w:t>
      </w:r>
      <w:r w:rsidRPr="003C5180">
        <w:rPr>
          <w:lang w:eastAsia="en-GB"/>
        </w:rPr>
        <w:t>immediately placed in the -80</w:t>
      </w:r>
      <w:r w:rsidR="000A78F6" w:rsidRPr="00277F6C">
        <w:rPr>
          <w:vertAlign w:val="superscript"/>
          <w:lang w:eastAsia="en-GB"/>
        </w:rPr>
        <w:t>o</w:t>
      </w:r>
      <w:r w:rsidR="000A78F6">
        <w:rPr>
          <w:lang w:eastAsia="en-GB"/>
        </w:rPr>
        <w:t>C</w:t>
      </w:r>
      <w:r w:rsidRPr="003C5180">
        <w:rPr>
          <w:lang w:eastAsia="en-GB"/>
        </w:rPr>
        <w:t xml:space="preserve"> freezer</w:t>
      </w:r>
      <w:r w:rsidR="00FE18BB">
        <w:rPr>
          <w:lang w:eastAsia="en-GB"/>
        </w:rPr>
        <w:t>.</w:t>
      </w:r>
    </w:p>
    <w:p w14:paraId="3FC83FF5" w14:textId="77777777" w:rsidR="00561531" w:rsidRPr="003C5180" w:rsidRDefault="00561531" w:rsidP="00483A92">
      <w:pPr>
        <w:numPr>
          <w:ilvl w:val="1"/>
          <w:numId w:val="19"/>
        </w:numPr>
        <w:spacing w:after="0" w:line="240" w:lineRule="auto"/>
        <w:ind w:left="709" w:hanging="283"/>
        <w:rPr>
          <w:lang w:eastAsia="en-GB"/>
        </w:rPr>
      </w:pPr>
      <w:r w:rsidRPr="003C5180">
        <w:rPr>
          <w:lang w:eastAsia="en-GB"/>
        </w:rPr>
        <w:t>A log will be kept of samples being stored in this freezer</w:t>
      </w:r>
    </w:p>
    <w:p w14:paraId="004A7FD6" w14:textId="77777777" w:rsidR="00093682" w:rsidRPr="003C5180" w:rsidRDefault="00093682" w:rsidP="00561531">
      <w:pPr>
        <w:spacing w:after="0" w:line="240" w:lineRule="auto"/>
        <w:rPr>
          <w:highlight w:val="green"/>
          <w:lang w:eastAsia="en-GB"/>
        </w:rPr>
      </w:pPr>
    </w:p>
    <w:p w14:paraId="4516E273" w14:textId="77777777" w:rsidR="00093682" w:rsidRPr="003C5180" w:rsidRDefault="00093682" w:rsidP="008B45E8">
      <w:pPr>
        <w:pStyle w:val="Heading4"/>
        <w:numPr>
          <w:ilvl w:val="3"/>
          <w:numId w:val="41"/>
        </w:numPr>
        <w:rPr>
          <w:rFonts w:ascii="Calibri" w:hAnsi="Calibri"/>
          <w:i w:val="0"/>
          <w:iCs w:val="0"/>
          <w:color w:val="auto"/>
          <w:sz w:val="23"/>
          <w:lang w:eastAsia="en-GB"/>
        </w:rPr>
      </w:pPr>
      <w:r w:rsidRPr="003C5180">
        <w:rPr>
          <w:rFonts w:ascii="Calibri" w:hAnsi="Calibri"/>
          <w:i w:val="0"/>
          <w:iCs w:val="0"/>
          <w:color w:val="auto"/>
          <w:sz w:val="23"/>
          <w:lang w:eastAsia="en-GB"/>
        </w:rPr>
        <w:t>Transporting samples to PHE Manchester</w:t>
      </w:r>
    </w:p>
    <w:p w14:paraId="19FA27FA" w14:textId="77777777" w:rsidR="00561531" w:rsidRPr="003C5180" w:rsidRDefault="00561531" w:rsidP="00561531">
      <w:pPr>
        <w:spacing w:after="0" w:line="240" w:lineRule="auto"/>
        <w:ind w:left="426"/>
        <w:rPr>
          <w:highlight w:val="green"/>
          <w:lang w:eastAsia="en-GB"/>
        </w:rPr>
      </w:pPr>
    </w:p>
    <w:p w14:paraId="2CDC6DA6" w14:textId="77777777" w:rsidR="00FE18BB" w:rsidRDefault="00561531" w:rsidP="00FE18BB">
      <w:pPr>
        <w:numPr>
          <w:ilvl w:val="1"/>
          <w:numId w:val="18"/>
        </w:numPr>
        <w:spacing w:after="0" w:line="240" w:lineRule="auto"/>
        <w:ind w:left="709" w:hanging="283"/>
        <w:rPr>
          <w:lang w:eastAsia="en-GB"/>
        </w:rPr>
      </w:pPr>
      <w:r w:rsidRPr="003C5180">
        <w:rPr>
          <w:lang w:eastAsia="en-GB"/>
        </w:rPr>
        <w:t xml:space="preserve">Samples will be sent in batches on dry ice by courier </w:t>
      </w:r>
      <w:r w:rsidR="0073422C" w:rsidRPr="003C5180">
        <w:rPr>
          <w:lang w:eastAsia="en-GB"/>
        </w:rPr>
        <w:t>to the</w:t>
      </w:r>
      <w:r w:rsidRPr="003C5180">
        <w:rPr>
          <w:lang w:eastAsia="en-GB"/>
        </w:rPr>
        <w:t xml:space="preserve"> P</w:t>
      </w:r>
      <w:r w:rsidR="0073422C" w:rsidRPr="003C5180">
        <w:rPr>
          <w:lang w:eastAsia="en-GB"/>
        </w:rPr>
        <w:t xml:space="preserve">ublic </w:t>
      </w:r>
      <w:r w:rsidRPr="003C5180">
        <w:rPr>
          <w:lang w:eastAsia="en-GB"/>
        </w:rPr>
        <w:t>H</w:t>
      </w:r>
      <w:r w:rsidR="0073422C" w:rsidRPr="003C5180">
        <w:rPr>
          <w:lang w:eastAsia="en-GB"/>
        </w:rPr>
        <w:t xml:space="preserve">ealth </w:t>
      </w:r>
      <w:r w:rsidRPr="003C5180">
        <w:rPr>
          <w:lang w:eastAsia="en-GB"/>
        </w:rPr>
        <w:t>E</w:t>
      </w:r>
      <w:r w:rsidR="0073422C" w:rsidRPr="003C5180">
        <w:rPr>
          <w:lang w:eastAsia="en-GB"/>
        </w:rPr>
        <w:t>ngland laboratory in Manchester</w:t>
      </w:r>
      <w:r w:rsidRPr="003C5180">
        <w:rPr>
          <w:lang w:eastAsia="en-GB"/>
        </w:rPr>
        <w:t xml:space="preserve"> at various time points throughout the study. </w:t>
      </w:r>
    </w:p>
    <w:p w14:paraId="1F674C41" w14:textId="77777777" w:rsidR="00093682" w:rsidRPr="003C5180" w:rsidRDefault="00093682" w:rsidP="00093682">
      <w:pPr>
        <w:spacing w:after="0" w:line="240" w:lineRule="auto"/>
        <w:ind w:left="1004"/>
        <w:rPr>
          <w:lang w:eastAsia="en-GB"/>
        </w:rPr>
      </w:pPr>
    </w:p>
    <w:p w14:paraId="58E51003" w14:textId="77777777" w:rsidR="00131081" w:rsidRPr="003C5180" w:rsidRDefault="00131081" w:rsidP="008B45E8">
      <w:pPr>
        <w:pStyle w:val="Heading3"/>
        <w:numPr>
          <w:ilvl w:val="2"/>
          <w:numId w:val="41"/>
        </w:numPr>
        <w:rPr>
          <w:rFonts w:cs="Tahoma"/>
          <w:i w:val="0"/>
          <w:sz w:val="24"/>
          <w:lang w:eastAsia="en-GB"/>
        </w:rPr>
      </w:pPr>
      <w:bookmarkStart w:id="99" w:name="_Toc470102491"/>
      <w:r w:rsidRPr="003C5180">
        <w:rPr>
          <w:rFonts w:cs="Tahoma"/>
          <w:i w:val="0"/>
          <w:sz w:val="24"/>
          <w:lang w:eastAsia="en-GB"/>
        </w:rPr>
        <w:t>Laboratory procedures</w:t>
      </w:r>
      <w:bookmarkEnd w:id="99"/>
    </w:p>
    <w:p w14:paraId="66A417FB" w14:textId="77777777" w:rsidR="007857A6" w:rsidRPr="003C5180" w:rsidRDefault="007857A6" w:rsidP="007857A6">
      <w:pPr>
        <w:rPr>
          <w:lang w:eastAsia="en-GB"/>
        </w:rPr>
      </w:pPr>
      <w:r w:rsidRPr="003C5180">
        <w:rPr>
          <w:lang w:eastAsia="en-GB"/>
        </w:rPr>
        <w:t>All laboratory testing for this study will be undertaken at the Public Health England laboratory in Manchester. Serum will be tested for functional antibody to the vaccine-containing antigens fHbp, NadA and PorA by Serum Bactericidal Assay (SBA) utilising human complement.</w:t>
      </w:r>
    </w:p>
    <w:p w14:paraId="4038F0AB" w14:textId="77777777" w:rsidR="004571CC" w:rsidRPr="003C5180" w:rsidRDefault="004571CC" w:rsidP="008B45E8">
      <w:pPr>
        <w:pStyle w:val="Heading1"/>
        <w:numPr>
          <w:ilvl w:val="0"/>
          <w:numId w:val="41"/>
        </w:numPr>
        <w:rPr>
          <w:rFonts w:ascii="Calibri" w:hAnsi="Calibri"/>
          <w:szCs w:val="28"/>
        </w:rPr>
      </w:pPr>
      <w:bookmarkStart w:id="100" w:name="_Toc261532697"/>
      <w:bookmarkStart w:id="101" w:name="_Toc470102492"/>
      <w:bookmarkStart w:id="102" w:name="_Toc127332510"/>
      <w:r w:rsidRPr="003C5180">
        <w:rPr>
          <w:rFonts w:ascii="Calibri" w:hAnsi="Calibri"/>
          <w:szCs w:val="28"/>
        </w:rPr>
        <w:t>Pharmacovigilance</w:t>
      </w:r>
      <w:bookmarkEnd w:id="100"/>
      <w:bookmarkEnd w:id="101"/>
    </w:p>
    <w:p w14:paraId="6375ACF5" w14:textId="77777777" w:rsidR="004571CC" w:rsidRPr="003C5180" w:rsidRDefault="004571CC" w:rsidP="008B45E8">
      <w:pPr>
        <w:pStyle w:val="Heading2"/>
        <w:numPr>
          <w:ilvl w:val="1"/>
          <w:numId w:val="42"/>
        </w:numPr>
        <w:rPr>
          <w:rFonts w:cs="Tahoma"/>
          <w:sz w:val="24"/>
        </w:rPr>
      </w:pPr>
      <w:r w:rsidRPr="003C5180">
        <w:rPr>
          <w:rFonts w:cs="Tahoma"/>
          <w:sz w:val="22"/>
          <w:szCs w:val="22"/>
        </w:rPr>
        <w:t xml:space="preserve"> </w:t>
      </w:r>
      <w:bookmarkStart w:id="103" w:name="_Toc261532698"/>
      <w:bookmarkStart w:id="104" w:name="_Toc470102493"/>
      <w:r w:rsidRPr="003C5180">
        <w:rPr>
          <w:rFonts w:cs="Tahoma"/>
          <w:sz w:val="24"/>
        </w:rPr>
        <w:t>Definitions</w:t>
      </w:r>
      <w:bookmarkEnd w:id="103"/>
      <w:bookmarkEnd w:id="104"/>
    </w:p>
    <w:p w14:paraId="34790EDE" w14:textId="77777777" w:rsidR="004571CC" w:rsidRPr="003C5180" w:rsidRDefault="004571CC" w:rsidP="00AC1A43">
      <w:pPr>
        <w:jc w:val="both"/>
      </w:pPr>
      <w:r w:rsidRPr="003C5180">
        <w:rPr>
          <w:b/>
        </w:rPr>
        <w:t>Adverse Event (AE)—</w:t>
      </w:r>
      <w:r w:rsidRPr="003C5180">
        <w:t xml:space="preserve">any untoward medical occurrence in a patient or clinical trial subject </w:t>
      </w:r>
      <w:r w:rsidR="00243604" w:rsidRPr="003C5180">
        <w:t xml:space="preserve">who is </w:t>
      </w:r>
      <w:r w:rsidRPr="003C5180">
        <w:t>administered an IMP and which does not necessarily have a causal re</w:t>
      </w:r>
      <w:r w:rsidR="006E6027" w:rsidRPr="003C5180">
        <w:t xml:space="preserve">lationship with this treatment which may include an exacerbation of a pre-existing illness; increase in frequency or severity of pre-existing </w:t>
      </w:r>
      <w:r w:rsidR="005F7418" w:rsidRPr="003C5180">
        <w:t>episodic</w:t>
      </w:r>
      <w:r w:rsidR="006E6027" w:rsidRPr="003C5180">
        <w:t xml:space="preserve"> condition;</w:t>
      </w:r>
      <w:r w:rsidR="005F7418" w:rsidRPr="003C5180">
        <w:t xml:space="preserve"> a condition (regardless of whether present prior to the start of the trial) that is detected after trial drug administration. (This does not include pre-existing conditions recorded as such at baseline</w:t>
      </w:r>
      <w:r w:rsidR="007655F3">
        <w:t>)</w:t>
      </w:r>
      <w:r w:rsidR="005F7418" w:rsidRPr="003C5180">
        <w:t>.</w:t>
      </w:r>
    </w:p>
    <w:p w14:paraId="233C28A7" w14:textId="77777777" w:rsidR="004571CC" w:rsidRPr="003C5180" w:rsidRDefault="004571CC" w:rsidP="00AC1A43">
      <w:pPr>
        <w:jc w:val="both"/>
      </w:pPr>
      <w:r w:rsidRPr="003C5180">
        <w:rPr>
          <w:b/>
        </w:rPr>
        <w:t>Adverse Reaction (AR)—</w:t>
      </w:r>
      <w:r w:rsidRPr="003C5180">
        <w:t xml:space="preserve">any untoward and unintended responses to an IMP related to any dose administered. </w:t>
      </w:r>
    </w:p>
    <w:p w14:paraId="55F04584" w14:textId="77777777" w:rsidR="004571CC" w:rsidRPr="003C5180" w:rsidRDefault="004571CC" w:rsidP="00AC1A43">
      <w:pPr>
        <w:jc w:val="both"/>
      </w:pPr>
      <w:r w:rsidRPr="003C5180">
        <w:rPr>
          <w:b/>
        </w:rPr>
        <w:t>Serious Adverse Event (SAE) or Serious Adverse Reaction (SAR)</w:t>
      </w:r>
      <w:r w:rsidRPr="003C5180">
        <w:t xml:space="preserve">—any Adverse Event or Reaction </w:t>
      </w:r>
      <w:r w:rsidR="006E6027" w:rsidRPr="003C5180">
        <w:t>that at any dose</w:t>
      </w:r>
      <w:r w:rsidRPr="003C5180">
        <w:t>:</w:t>
      </w:r>
    </w:p>
    <w:p w14:paraId="7DA7B14A" w14:textId="77777777" w:rsidR="004571CC" w:rsidRPr="003C5180" w:rsidRDefault="004571CC" w:rsidP="00586EF2">
      <w:pPr>
        <w:pStyle w:val="Bulletlist-old"/>
        <w:numPr>
          <w:ilvl w:val="0"/>
          <w:numId w:val="11"/>
        </w:numPr>
        <w:jc w:val="both"/>
        <w:rPr>
          <w:color w:val="auto"/>
          <w:kern w:val="0"/>
          <w:szCs w:val="24"/>
          <w:lang w:eastAsia="en-US"/>
        </w:rPr>
      </w:pPr>
      <w:r w:rsidRPr="003C5180">
        <w:rPr>
          <w:color w:val="auto"/>
          <w:kern w:val="0"/>
          <w:szCs w:val="24"/>
          <w:lang w:eastAsia="en-US"/>
        </w:rPr>
        <w:t xml:space="preserve">Results in death; or </w:t>
      </w:r>
    </w:p>
    <w:p w14:paraId="25496A02" w14:textId="77777777" w:rsidR="004571CC" w:rsidRPr="003C5180" w:rsidRDefault="004571CC" w:rsidP="00586EF2">
      <w:pPr>
        <w:pStyle w:val="Bulletlist-old"/>
        <w:numPr>
          <w:ilvl w:val="0"/>
          <w:numId w:val="11"/>
        </w:numPr>
        <w:jc w:val="both"/>
        <w:rPr>
          <w:color w:val="auto"/>
          <w:kern w:val="0"/>
          <w:szCs w:val="24"/>
          <w:lang w:eastAsia="en-US"/>
        </w:rPr>
      </w:pPr>
      <w:r w:rsidRPr="003C5180">
        <w:rPr>
          <w:color w:val="auto"/>
          <w:kern w:val="0"/>
          <w:szCs w:val="24"/>
          <w:lang w:eastAsia="en-US"/>
        </w:rPr>
        <w:t>Is life-threatening (places the subject</w:t>
      </w:r>
      <w:r w:rsidR="00243604" w:rsidRPr="003C5180">
        <w:rPr>
          <w:color w:val="auto"/>
          <w:kern w:val="0"/>
          <w:szCs w:val="24"/>
          <w:lang w:eastAsia="en-US"/>
        </w:rPr>
        <w:t>,</w:t>
      </w:r>
      <w:r w:rsidRPr="003C5180">
        <w:rPr>
          <w:color w:val="auto"/>
          <w:kern w:val="0"/>
          <w:szCs w:val="24"/>
          <w:lang w:eastAsia="en-US"/>
        </w:rPr>
        <w:t xml:space="preserve"> in the view of the </w:t>
      </w:r>
      <w:r w:rsidR="00243604" w:rsidRPr="003C5180">
        <w:rPr>
          <w:color w:val="auto"/>
          <w:kern w:val="0"/>
          <w:szCs w:val="24"/>
          <w:lang w:eastAsia="en-US"/>
        </w:rPr>
        <w:t xml:space="preserve">Investigator, </w:t>
      </w:r>
      <w:r w:rsidRPr="003C5180">
        <w:rPr>
          <w:color w:val="auto"/>
          <w:kern w:val="0"/>
          <w:szCs w:val="24"/>
          <w:lang w:eastAsia="en-US"/>
        </w:rPr>
        <w:t>at immediate risk of death)</w:t>
      </w:r>
    </w:p>
    <w:p w14:paraId="0C74879A" w14:textId="77777777" w:rsidR="004571CC" w:rsidRPr="003C5180" w:rsidRDefault="004571CC" w:rsidP="00586EF2">
      <w:pPr>
        <w:pStyle w:val="Bulletlist-old"/>
        <w:numPr>
          <w:ilvl w:val="0"/>
          <w:numId w:val="11"/>
        </w:numPr>
        <w:jc w:val="both"/>
        <w:rPr>
          <w:color w:val="auto"/>
          <w:kern w:val="0"/>
          <w:szCs w:val="24"/>
          <w:lang w:eastAsia="en-US"/>
        </w:rPr>
      </w:pPr>
      <w:r w:rsidRPr="003C5180">
        <w:rPr>
          <w:color w:val="auto"/>
          <w:kern w:val="0"/>
          <w:szCs w:val="24"/>
          <w:lang w:eastAsia="en-US"/>
        </w:rPr>
        <w:t>Requires hospitalisation or prolongation of existing hospitalisation (hospitalisation is defined as an inpatient admission, regardless of length of stay; even if it is a precautionary measure for observation; including hospitalisation for an elective procedure, for a pre-existing condition)</w:t>
      </w:r>
    </w:p>
    <w:p w14:paraId="6D82CD40" w14:textId="77777777" w:rsidR="004571CC" w:rsidRPr="003C5180" w:rsidRDefault="004571CC" w:rsidP="00586EF2">
      <w:pPr>
        <w:pStyle w:val="Bulletlist-old"/>
        <w:numPr>
          <w:ilvl w:val="0"/>
          <w:numId w:val="11"/>
        </w:numPr>
        <w:jc w:val="both"/>
        <w:rPr>
          <w:color w:val="auto"/>
          <w:kern w:val="0"/>
          <w:szCs w:val="24"/>
          <w:lang w:eastAsia="en-US"/>
        </w:rPr>
      </w:pPr>
      <w:r w:rsidRPr="003C5180">
        <w:rPr>
          <w:color w:val="auto"/>
          <w:kern w:val="0"/>
          <w:szCs w:val="24"/>
          <w:lang w:eastAsia="en-US"/>
        </w:rPr>
        <w:t>Results in persistent or significant disability or incapacity (substantial disruption of one’s ability to conduct normal life functions)</w:t>
      </w:r>
    </w:p>
    <w:p w14:paraId="4E08F3D4" w14:textId="77777777" w:rsidR="004571CC" w:rsidRPr="003C5180" w:rsidRDefault="004571CC" w:rsidP="00586EF2">
      <w:pPr>
        <w:pStyle w:val="Bulletlist-old"/>
        <w:numPr>
          <w:ilvl w:val="0"/>
          <w:numId w:val="11"/>
        </w:numPr>
        <w:jc w:val="both"/>
        <w:rPr>
          <w:color w:val="auto"/>
          <w:kern w:val="0"/>
          <w:szCs w:val="24"/>
          <w:lang w:eastAsia="en-US"/>
        </w:rPr>
      </w:pPr>
      <w:r w:rsidRPr="003C5180">
        <w:rPr>
          <w:color w:val="auto"/>
          <w:kern w:val="0"/>
          <w:szCs w:val="24"/>
          <w:lang w:eastAsia="en-US"/>
        </w:rPr>
        <w:t>Consists of a congenital anomaly or birth defect (in offspring of subjects or their parents taking the IMP regardless of time of diagnosis).</w:t>
      </w:r>
    </w:p>
    <w:p w14:paraId="487EF54A" w14:textId="77777777" w:rsidR="006E6027" w:rsidRPr="003C5180" w:rsidRDefault="006E6027" w:rsidP="00586EF2">
      <w:pPr>
        <w:pStyle w:val="Bulletlist-old"/>
        <w:numPr>
          <w:ilvl w:val="0"/>
          <w:numId w:val="11"/>
        </w:numPr>
        <w:jc w:val="both"/>
        <w:rPr>
          <w:color w:val="auto"/>
          <w:kern w:val="0"/>
          <w:szCs w:val="24"/>
          <w:lang w:eastAsia="en-US"/>
        </w:rPr>
      </w:pPr>
      <w:r w:rsidRPr="003C5180">
        <w:rPr>
          <w:color w:val="auto"/>
          <w:kern w:val="0"/>
          <w:szCs w:val="24"/>
          <w:lang w:eastAsia="en-US"/>
        </w:rPr>
        <w:t>Or is another important medical condition</w:t>
      </w:r>
    </w:p>
    <w:p w14:paraId="4994F997" w14:textId="77777777" w:rsidR="004571CC" w:rsidRPr="003C5180" w:rsidRDefault="004571CC" w:rsidP="00AC1A43">
      <w:pPr>
        <w:jc w:val="both"/>
      </w:pPr>
      <w:r w:rsidRPr="003C5180">
        <w:t>Important medical events that may not be immediately life-threatening or result in death or hospitalisation but may jeopardise the subject or may require intervention to prevent one of the outcomes listed in the definition of serious will also be considered serious.</w:t>
      </w:r>
    </w:p>
    <w:p w14:paraId="7337EA4C" w14:textId="77777777" w:rsidR="004571CC" w:rsidRPr="003C5180" w:rsidRDefault="004571CC" w:rsidP="00AC1A43">
      <w:pPr>
        <w:jc w:val="both"/>
      </w:pPr>
      <w:r w:rsidRPr="003C5180">
        <w:rPr>
          <w:b/>
        </w:rPr>
        <w:t>Suspected Unexpected Serious Adverse Reaction (SUSAR)—</w:t>
      </w:r>
      <w:r w:rsidRPr="003C5180">
        <w:t>an Adverse Reaction which is classed in nature as both serious and unexpected.</w:t>
      </w:r>
    </w:p>
    <w:p w14:paraId="43245AA6" w14:textId="77777777" w:rsidR="004571CC" w:rsidRPr="003C5180" w:rsidRDefault="00243604" w:rsidP="005F7418">
      <w:pPr>
        <w:jc w:val="both"/>
      </w:pPr>
      <w:r w:rsidRPr="003C5180">
        <w:t xml:space="preserve">An </w:t>
      </w:r>
      <w:r w:rsidR="005F7418" w:rsidRPr="003C5180">
        <w:t>‘</w:t>
      </w:r>
      <w:r w:rsidR="004571CC" w:rsidRPr="003C5180">
        <w:t xml:space="preserve">Unexpected </w:t>
      </w:r>
      <w:r w:rsidRPr="003C5180">
        <w:t>A</w:t>
      </w:r>
      <w:r w:rsidR="004571CC" w:rsidRPr="003C5180">
        <w:t xml:space="preserve">dverse </w:t>
      </w:r>
      <w:r w:rsidRPr="003C5180">
        <w:t>R</w:t>
      </w:r>
      <w:r w:rsidR="004571CC" w:rsidRPr="003C5180">
        <w:t>eaction</w:t>
      </w:r>
      <w:r w:rsidR="005F7418" w:rsidRPr="003C5180">
        <w:t>’</w:t>
      </w:r>
      <w:r w:rsidR="004571CC" w:rsidRPr="003C5180">
        <w:t xml:space="preserve"> </w:t>
      </w:r>
      <w:r w:rsidRPr="003C5180">
        <w:t xml:space="preserve">is </w:t>
      </w:r>
      <w:r w:rsidR="00FD74F8" w:rsidRPr="003C5180">
        <w:t>when</w:t>
      </w:r>
      <w:r w:rsidRPr="003C5180">
        <w:t xml:space="preserve"> both</w:t>
      </w:r>
      <w:r w:rsidR="004571CC" w:rsidRPr="003C5180">
        <w:t xml:space="preserve"> the nature and severity of </w:t>
      </w:r>
      <w:r w:rsidRPr="003C5180">
        <w:t>the event i</w:t>
      </w:r>
      <w:r w:rsidR="004571CC" w:rsidRPr="003C5180">
        <w:t xml:space="preserve">s not consistent with the </w:t>
      </w:r>
      <w:r w:rsidR="005F7418" w:rsidRPr="003C5180">
        <w:t xml:space="preserve">reference safety </w:t>
      </w:r>
      <w:r w:rsidR="004571CC" w:rsidRPr="003C5180">
        <w:t xml:space="preserve">information </w:t>
      </w:r>
      <w:r w:rsidR="005F7418" w:rsidRPr="003C5180">
        <w:t>available for</w:t>
      </w:r>
      <w:r w:rsidR="004571CC" w:rsidRPr="003C5180">
        <w:t xml:space="preserve"> the </w:t>
      </w:r>
      <w:r w:rsidR="005F7418" w:rsidRPr="003C5180">
        <w:t>IMP</w:t>
      </w:r>
      <w:r w:rsidR="004571CC" w:rsidRPr="003C5180">
        <w:t xml:space="preserve"> in question</w:t>
      </w:r>
      <w:r w:rsidR="005F7418" w:rsidRPr="003C5180">
        <w:t>.</w:t>
      </w:r>
    </w:p>
    <w:p w14:paraId="64B661A7" w14:textId="77777777" w:rsidR="004571CC" w:rsidRPr="00BD1825" w:rsidRDefault="000F6C1C" w:rsidP="008B45E8">
      <w:pPr>
        <w:pStyle w:val="Heading2"/>
        <w:numPr>
          <w:ilvl w:val="1"/>
          <w:numId w:val="42"/>
        </w:numPr>
        <w:rPr>
          <w:sz w:val="24"/>
        </w:rPr>
      </w:pPr>
      <w:bookmarkStart w:id="105" w:name="_Toc261532699"/>
      <w:bookmarkStart w:id="106" w:name="_Toc470102494"/>
      <w:r w:rsidRPr="00BD1825">
        <w:rPr>
          <w:sz w:val="24"/>
        </w:rPr>
        <w:t>Investigator responsibilities relating to safety reporting</w:t>
      </w:r>
      <w:bookmarkEnd w:id="105"/>
      <w:bookmarkEnd w:id="106"/>
    </w:p>
    <w:p w14:paraId="43CD2B38" w14:textId="586F27EF" w:rsidR="000F6C1C" w:rsidRPr="003C5180" w:rsidRDefault="00471918" w:rsidP="000F6C1C">
      <w:pPr>
        <w:jc w:val="both"/>
      </w:pPr>
      <w:bookmarkStart w:id="107" w:name="_Toc211145371"/>
      <w:bookmarkStart w:id="108" w:name="_Toc260130125"/>
      <w:bookmarkStart w:id="109" w:name="_Toc261532700"/>
      <w:r>
        <w:t xml:space="preserve">All </w:t>
      </w:r>
      <w:r w:rsidR="004B52A6">
        <w:t xml:space="preserve">unsolicited </w:t>
      </w:r>
      <w:r>
        <w:t xml:space="preserve">adverse events which occur within </w:t>
      </w:r>
      <w:r w:rsidR="006679C6">
        <w:t>28</w:t>
      </w:r>
      <w:r>
        <w:t xml:space="preserve"> days of vaccination will be recorded</w:t>
      </w:r>
      <w:r w:rsidR="009224FE">
        <w:t xml:space="preserve"> on the CRF</w:t>
      </w:r>
      <w:r>
        <w:t>, as will all me</w:t>
      </w:r>
      <w:r w:rsidR="00332EDA">
        <w:t>dically attended adverse events occurring at any time during the study</w:t>
      </w:r>
      <w:r w:rsidR="006313CA">
        <w:t xml:space="preserve"> i.e. until an individual infant has reached the end of the study</w:t>
      </w:r>
      <w:r w:rsidR="00332EDA">
        <w:t>.</w:t>
      </w:r>
      <w:r w:rsidR="00F16A74">
        <w:t xml:space="preserve"> </w:t>
      </w:r>
      <w:r w:rsidR="009224FE">
        <w:t>U</w:t>
      </w:r>
      <w:r w:rsidR="000E120A">
        <w:t>nsolicited a</w:t>
      </w:r>
      <w:r w:rsidR="00F16A74">
        <w:t xml:space="preserve">dverse events </w:t>
      </w:r>
      <w:r w:rsidR="000E120A">
        <w:t xml:space="preserve">should </w:t>
      </w:r>
      <w:r w:rsidR="003A6F5A">
        <w:t xml:space="preserve">also </w:t>
      </w:r>
      <w:r w:rsidR="00F16A74">
        <w:t xml:space="preserve">be recorded on the </w:t>
      </w:r>
      <w:r w:rsidR="00F16A74" w:rsidRPr="003C5180">
        <w:t>AE Log JREOLOG0007</w:t>
      </w:r>
      <w:r w:rsidR="00F16A74">
        <w:t>.</w:t>
      </w:r>
    </w:p>
    <w:bookmarkEnd w:id="107"/>
    <w:bookmarkEnd w:id="108"/>
    <w:bookmarkEnd w:id="109"/>
    <w:p w14:paraId="30FFDE3C" w14:textId="77777777" w:rsidR="000F6C1C" w:rsidRDefault="000F6C1C" w:rsidP="000F6C1C">
      <w:pPr>
        <w:jc w:val="both"/>
      </w:pPr>
      <w:r w:rsidRPr="003C5180">
        <w:t xml:space="preserve">SAEs and SARs </w:t>
      </w:r>
      <w:r w:rsidR="005F137D">
        <w:t xml:space="preserve">will be recorded throughout the study and </w:t>
      </w:r>
      <w:r w:rsidRPr="003C5180">
        <w:t xml:space="preserve">must be notified to the </w:t>
      </w:r>
      <w:r w:rsidR="00CC4734">
        <w:t>S</w:t>
      </w:r>
      <w:r w:rsidRPr="003C5180">
        <w:t xml:space="preserve">ponsor </w:t>
      </w:r>
      <w:r w:rsidR="00176265">
        <w:t>within 24 hours of</w:t>
      </w:r>
      <w:r w:rsidR="00176265" w:rsidRPr="003C5180">
        <w:t xml:space="preserve"> </w:t>
      </w:r>
      <w:r w:rsidRPr="003C5180">
        <w:t xml:space="preserve">the investigator </w:t>
      </w:r>
      <w:r w:rsidR="00176265" w:rsidRPr="003C5180">
        <w:t>becom</w:t>
      </w:r>
      <w:r w:rsidR="00176265">
        <w:t>ing</w:t>
      </w:r>
      <w:r w:rsidR="00176265" w:rsidRPr="003C5180">
        <w:t xml:space="preserve"> </w:t>
      </w:r>
      <w:r w:rsidRPr="003C5180">
        <w:t xml:space="preserve">aware of the event. Refer to JREOSOP0006 and </w:t>
      </w:r>
      <w:r w:rsidR="00964906" w:rsidRPr="003C5180">
        <w:t xml:space="preserve">ensure the </w:t>
      </w:r>
      <w:r w:rsidRPr="003C5180">
        <w:t>complete</w:t>
      </w:r>
      <w:r w:rsidR="00964906" w:rsidRPr="003C5180">
        <w:t xml:space="preserve">d SAE report form </w:t>
      </w:r>
      <w:r w:rsidRPr="003C5180">
        <w:t>JREODOC0012</w:t>
      </w:r>
      <w:r w:rsidR="00964906" w:rsidRPr="003C5180">
        <w:t xml:space="preserve"> is sent to the sponsor</w:t>
      </w:r>
      <w:r w:rsidR="006C3F43" w:rsidRPr="003C5180">
        <w:t xml:space="preserve"> via fax on 020 8725 0794 or E-mailed to </w:t>
      </w:r>
      <w:hyperlink r:id="rId11" w:history="1">
        <w:r w:rsidR="006C3F43" w:rsidRPr="003C5180">
          <w:t>adverseevents@sgul.ac.uk</w:t>
        </w:r>
      </w:hyperlink>
      <w:r w:rsidR="00EC0F73">
        <w:t xml:space="preserve"> .</w:t>
      </w:r>
    </w:p>
    <w:p w14:paraId="62FD63EF" w14:textId="77777777" w:rsidR="006313CA" w:rsidRPr="00740EB3" w:rsidRDefault="006313CA" w:rsidP="006313CA">
      <w:pPr>
        <w:pStyle w:val="Default"/>
        <w:spacing w:line="300" w:lineRule="exact"/>
        <w:rPr>
          <w:rFonts w:asciiTheme="minorHAnsi" w:hAnsiTheme="minorHAnsi" w:cs="Arial"/>
          <w:sz w:val="22"/>
          <w:szCs w:val="22"/>
        </w:rPr>
      </w:pPr>
      <w:bookmarkStart w:id="110" w:name="OLE_LINK60"/>
      <w:bookmarkStart w:id="111" w:name="OLE_LINK61"/>
      <w:r w:rsidRPr="00740EB3">
        <w:rPr>
          <w:rFonts w:asciiTheme="minorHAnsi" w:hAnsiTheme="minorHAnsi" w:cs="Arial"/>
          <w:sz w:val="22"/>
          <w:szCs w:val="22"/>
        </w:rPr>
        <w:t xml:space="preserve">In order to prevent a breach of patient confidentiality, SAE reports and any accompanying information should contain only anonymised or pseudo-anonymised patient data. </w:t>
      </w:r>
    </w:p>
    <w:bookmarkEnd w:id="110"/>
    <w:bookmarkEnd w:id="111"/>
    <w:p w14:paraId="2DEFB43F" w14:textId="77777777" w:rsidR="006313CA" w:rsidRPr="00740EB3" w:rsidRDefault="006313CA" w:rsidP="006313CA">
      <w:pPr>
        <w:pStyle w:val="Default"/>
        <w:spacing w:line="300" w:lineRule="exact"/>
        <w:ind w:left="284"/>
        <w:rPr>
          <w:rFonts w:asciiTheme="minorHAnsi" w:hAnsiTheme="minorHAnsi" w:cs="Arial"/>
          <w:sz w:val="22"/>
          <w:szCs w:val="22"/>
        </w:rPr>
      </w:pPr>
    </w:p>
    <w:p w14:paraId="5FE2A85B" w14:textId="02C80B76" w:rsidR="006313CA" w:rsidRPr="00740EB3" w:rsidRDefault="00EB48D5" w:rsidP="006313CA">
      <w:pPr>
        <w:pStyle w:val="Default"/>
        <w:spacing w:line="300" w:lineRule="exact"/>
        <w:rPr>
          <w:rFonts w:asciiTheme="minorHAnsi" w:hAnsiTheme="minorHAnsi" w:cs="Arial"/>
          <w:sz w:val="22"/>
          <w:szCs w:val="22"/>
        </w:rPr>
      </w:pPr>
      <w:r>
        <w:rPr>
          <w:rFonts w:asciiTheme="minorHAnsi" w:hAnsiTheme="minorHAnsi" w:cs="Arial"/>
          <w:sz w:val="22"/>
          <w:szCs w:val="22"/>
        </w:rPr>
        <w:t xml:space="preserve">It is recognised that </w:t>
      </w:r>
      <w:r w:rsidR="006313CA" w:rsidRPr="00740EB3">
        <w:rPr>
          <w:rFonts w:asciiTheme="minorHAnsi" w:hAnsiTheme="minorHAnsi" w:cs="Arial"/>
          <w:sz w:val="22"/>
          <w:szCs w:val="22"/>
        </w:rPr>
        <w:t>all information</w:t>
      </w:r>
      <w:r>
        <w:rPr>
          <w:rFonts w:asciiTheme="minorHAnsi" w:hAnsiTheme="minorHAnsi" w:cs="Arial"/>
          <w:sz w:val="22"/>
          <w:szCs w:val="22"/>
        </w:rPr>
        <w:t xml:space="preserve"> may not be</w:t>
      </w:r>
      <w:r w:rsidR="006313CA" w:rsidRPr="00740EB3">
        <w:rPr>
          <w:rFonts w:asciiTheme="minorHAnsi" w:hAnsiTheme="minorHAnsi" w:cs="Arial"/>
          <w:sz w:val="22"/>
          <w:szCs w:val="22"/>
        </w:rPr>
        <w:t xml:space="preserve"> available while the SAE </w:t>
      </w:r>
      <w:r w:rsidR="006E29D0" w:rsidRPr="00740EB3">
        <w:rPr>
          <w:rFonts w:asciiTheme="minorHAnsi" w:hAnsiTheme="minorHAnsi" w:cs="Arial"/>
          <w:sz w:val="22"/>
          <w:szCs w:val="22"/>
        </w:rPr>
        <w:t>report f</w:t>
      </w:r>
      <w:r w:rsidR="006313CA" w:rsidRPr="00740EB3">
        <w:rPr>
          <w:rFonts w:asciiTheme="minorHAnsi" w:hAnsiTheme="minorHAnsi" w:cs="Arial"/>
          <w:sz w:val="22"/>
          <w:szCs w:val="22"/>
        </w:rPr>
        <w:t xml:space="preserve">orm is being completed, </w:t>
      </w:r>
      <w:r>
        <w:rPr>
          <w:rFonts w:asciiTheme="minorHAnsi" w:hAnsiTheme="minorHAnsi" w:cs="Arial"/>
          <w:sz w:val="22"/>
          <w:szCs w:val="22"/>
        </w:rPr>
        <w:t xml:space="preserve">however </w:t>
      </w:r>
      <w:r w:rsidR="006313CA" w:rsidRPr="00740EB3">
        <w:rPr>
          <w:rFonts w:asciiTheme="minorHAnsi" w:hAnsiTheme="minorHAnsi" w:cs="Arial"/>
          <w:sz w:val="22"/>
          <w:szCs w:val="22"/>
        </w:rPr>
        <w:t xml:space="preserve">the initial report must contain the following as a minimum: </w:t>
      </w:r>
    </w:p>
    <w:p w14:paraId="1561923D" w14:textId="77777777" w:rsidR="006313CA" w:rsidRPr="00D42BF6" w:rsidRDefault="006E29D0" w:rsidP="006313CA">
      <w:pPr>
        <w:numPr>
          <w:ilvl w:val="0"/>
          <w:numId w:val="53"/>
        </w:numPr>
        <w:autoSpaceDE w:val="0"/>
        <w:autoSpaceDN w:val="0"/>
        <w:adjustRightInd w:val="0"/>
        <w:spacing w:after="5" w:line="300" w:lineRule="exact"/>
        <w:ind w:left="851"/>
        <w:rPr>
          <w:rFonts w:cs="Arial"/>
          <w:color w:val="000000"/>
          <w:szCs w:val="22"/>
          <w:lang w:eastAsia="en-GB"/>
        </w:rPr>
      </w:pPr>
      <w:r>
        <w:rPr>
          <w:rFonts w:cs="Arial"/>
          <w:color w:val="000000"/>
          <w:szCs w:val="22"/>
          <w:lang w:eastAsia="en-GB"/>
        </w:rPr>
        <w:t>Identifiable e</w:t>
      </w:r>
      <w:r w:rsidR="006313CA" w:rsidRPr="00D42BF6">
        <w:rPr>
          <w:rFonts w:cs="Arial"/>
          <w:color w:val="000000"/>
          <w:szCs w:val="22"/>
          <w:lang w:eastAsia="en-GB"/>
        </w:rPr>
        <w:t xml:space="preserve">vent </w:t>
      </w:r>
    </w:p>
    <w:p w14:paraId="5B33E635" w14:textId="77777777" w:rsidR="006313CA" w:rsidRPr="00D42BF6" w:rsidRDefault="006E29D0" w:rsidP="006313CA">
      <w:pPr>
        <w:numPr>
          <w:ilvl w:val="0"/>
          <w:numId w:val="53"/>
        </w:numPr>
        <w:autoSpaceDE w:val="0"/>
        <w:autoSpaceDN w:val="0"/>
        <w:adjustRightInd w:val="0"/>
        <w:spacing w:after="5" w:line="300" w:lineRule="exact"/>
        <w:ind w:left="851"/>
        <w:rPr>
          <w:rFonts w:cs="Arial"/>
          <w:color w:val="000000"/>
          <w:szCs w:val="22"/>
          <w:lang w:eastAsia="en-GB"/>
        </w:rPr>
      </w:pPr>
      <w:r>
        <w:rPr>
          <w:rFonts w:cs="Arial"/>
          <w:color w:val="000000"/>
          <w:szCs w:val="22"/>
          <w:lang w:eastAsia="en-GB"/>
        </w:rPr>
        <w:t>Identifiable p</w:t>
      </w:r>
      <w:r w:rsidR="006313CA" w:rsidRPr="00D42BF6">
        <w:rPr>
          <w:rFonts w:cs="Arial"/>
          <w:color w:val="000000"/>
          <w:szCs w:val="22"/>
          <w:lang w:eastAsia="en-GB"/>
        </w:rPr>
        <w:t xml:space="preserve">atient </w:t>
      </w:r>
    </w:p>
    <w:p w14:paraId="711353FF" w14:textId="77777777" w:rsidR="006313CA" w:rsidRPr="00D42BF6" w:rsidRDefault="006313CA" w:rsidP="006313CA">
      <w:pPr>
        <w:numPr>
          <w:ilvl w:val="0"/>
          <w:numId w:val="53"/>
        </w:numPr>
        <w:autoSpaceDE w:val="0"/>
        <w:autoSpaceDN w:val="0"/>
        <w:adjustRightInd w:val="0"/>
        <w:spacing w:after="5" w:line="300" w:lineRule="exact"/>
        <w:ind w:left="851"/>
        <w:rPr>
          <w:rFonts w:cs="Arial"/>
          <w:color w:val="000000"/>
          <w:szCs w:val="22"/>
          <w:lang w:eastAsia="en-GB"/>
        </w:rPr>
      </w:pPr>
      <w:r w:rsidRPr="00D42BF6">
        <w:rPr>
          <w:rFonts w:cs="Arial"/>
          <w:color w:val="000000"/>
          <w:szCs w:val="22"/>
          <w:lang w:eastAsia="en-GB"/>
        </w:rPr>
        <w:t xml:space="preserve">Identifiable IMP </w:t>
      </w:r>
      <w:r>
        <w:rPr>
          <w:rFonts w:cs="Arial"/>
          <w:color w:val="000000"/>
          <w:szCs w:val="22"/>
          <w:lang w:eastAsia="en-GB"/>
        </w:rPr>
        <w:t>(i.e. by providing batch number)</w:t>
      </w:r>
    </w:p>
    <w:p w14:paraId="0D8A4830" w14:textId="77777777" w:rsidR="006313CA" w:rsidRPr="00D42BF6" w:rsidRDefault="006313CA" w:rsidP="006313CA">
      <w:pPr>
        <w:numPr>
          <w:ilvl w:val="0"/>
          <w:numId w:val="53"/>
        </w:numPr>
        <w:autoSpaceDE w:val="0"/>
        <w:autoSpaceDN w:val="0"/>
        <w:adjustRightInd w:val="0"/>
        <w:spacing w:after="0" w:line="300" w:lineRule="exact"/>
        <w:ind w:left="851"/>
        <w:rPr>
          <w:rFonts w:cs="Arial"/>
          <w:color w:val="000000"/>
          <w:szCs w:val="22"/>
          <w:lang w:eastAsia="en-GB"/>
        </w:rPr>
      </w:pPr>
      <w:r w:rsidRPr="00D42BF6">
        <w:rPr>
          <w:rFonts w:cs="Arial"/>
          <w:color w:val="000000"/>
          <w:szCs w:val="22"/>
          <w:lang w:eastAsia="en-GB"/>
        </w:rPr>
        <w:t xml:space="preserve">Identifiable Reporter </w:t>
      </w:r>
    </w:p>
    <w:p w14:paraId="0D00184E" w14:textId="77777777" w:rsidR="006313CA" w:rsidRPr="00D42BF6" w:rsidRDefault="006313CA" w:rsidP="006313CA">
      <w:pPr>
        <w:autoSpaceDE w:val="0"/>
        <w:autoSpaceDN w:val="0"/>
        <w:adjustRightInd w:val="0"/>
        <w:spacing w:after="0"/>
        <w:ind w:left="851"/>
        <w:rPr>
          <w:rFonts w:cs="Arial"/>
          <w:color w:val="000000"/>
          <w:szCs w:val="22"/>
          <w:lang w:eastAsia="en-GB"/>
        </w:rPr>
      </w:pPr>
    </w:p>
    <w:p w14:paraId="57B12B05" w14:textId="77777777" w:rsidR="006313CA" w:rsidRPr="00D42BF6" w:rsidRDefault="006313CA" w:rsidP="006313CA">
      <w:pPr>
        <w:autoSpaceDE w:val="0"/>
        <w:autoSpaceDN w:val="0"/>
        <w:adjustRightInd w:val="0"/>
        <w:spacing w:after="0"/>
        <w:rPr>
          <w:rFonts w:cs="Arial"/>
          <w:szCs w:val="22"/>
        </w:rPr>
      </w:pPr>
      <w:r w:rsidRPr="00D42BF6">
        <w:rPr>
          <w:rFonts w:cs="Arial"/>
          <w:szCs w:val="22"/>
        </w:rPr>
        <w:t>If the information available is less than the specified minimum or if the SAE Form is not available for completion and reporting to meet the 24-hours deadline an initial report can be made verbally but must be followed within 48 hours by a detailed, written report.</w:t>
      </w:r>
    </w:p>
    <w:p w14:paraId="42CC51FB" w14:textId="77777777" w:rsidR="006313CA" w:rsidRPr="00D42BF6" w:rsidRDefault="006313CA" w:rsidP="006313CA">
      <w:pPr>
        <w:autoSpaceDE w:val="0"/>
        <w:autoSpaceDN w:val="0"/>
        <w:adjustRightInd w:val="0"/>
        <w:spacing w:after="0"/>
        <w:rPr>
          <w:rFonts w:cs="Arial"/>
          <w:szCs w:val="22"/>
        </w:rPr>
      </w:pPr>
    </w:p>
    <w:p w14:paraId="3371EAFE" w14:textId="77777777" w:rsidR="006313CA" w:rsidRPr="00D42BF6" w:rsidRDefault="006313CA" w:rsidP="006313CA">
      <w:pPr>
        <w:autoSpaceDE w:val="0"/>
        <w:autoSpaceDN w:val="0"/>
        <w:adjustRightInd w:val="0"/>
        <w:spacing w:after="0"/>
        <w:rPr>
          <w:rFonts w:cs="Arial"/>
          <w:color w:val="000000"/>
          <w:szCs w:val="22"/>
          <w:lang w:eastAsia="en-GB"/>
        </w:rPr>
      </w:pPr>
      <w:r w:rsidRPr="00D42BF6">
        <w:rPr>
          <w:rFonts w:cs="Arial"/>
          <w:color w:val="000000"/>
          <w:szCs w:val="22"/>
          <w:lang w:eastAsia="en-GB"/>
        </w:rPr>
        <w:t xml:space="preserve">All </w:t>
      </w:r>
      <w:r w:rsidRPr="00D42BF6">
        <w:rPr>
          <w:rFonts w:cs="Arial"/>
          <w:color w:val="000000"/>
          <w:szCs w:val="22"/>
          <w:lang w:val="en-US"/>
        </w:rPr>
        <w:t>unforeseeable</w:t>
      </w:r>
      <w:r w:rsidRPr="00D42BF6">
        <w:rPr>
          <w:rFonts w:ascii="Times" w:hAnsi="Times" w:cs="Arial"/>
          <w:sz w:val="20"/>
          <w:szCs w:val="20"/>
        </w:rPr>
        <w:t xml:space="preserve"> </w:t>
      </w:r>
      <w:r w:rsidRPr="00D42BF6">
        <w:rPr>
          <w:rFonts w:cs="Arial"/>
          <w:color w:val="000000"/>
          <w:szCs w:val="22"/>
          <w:lang w:eastAsia="en-GB"/>
        </w:rPr>
        <w:t>SAEs including SUSARs must be followed up by the PI/CI until satisfactory resolution and this should be recorded as a Follow Up report on the SAE form, and on the AE log.  At each stage of follow up the PI/CI should sign and date the form.</w:t>
      </w:r>
    </w:p>
    <w:p w14:paraId="091366E3" w14:textId="77777777" w:rsidR="003A6F5A" w:rsidRDefault="003A6F5A" w:rsidP="002D7664">
      <w:pPr>
        <w:jc w:val="both"/>
      </w:pPr>
    </w:p>
    <w:p w14:paraId="1DA77B6B" w14:textId="77777777" w:rsidR="002D7664" w:rsidRPr="003C5180" w:rsidRDefault="002D7664" w:rsidP="002D7664">
      <w:pPr>
        <w:jc w:val="both"/>
      </w:pPr>
      <w:r w:rsidRPr="003C5180">
        <w:t xml:space="preserve">The </w:t>
      </w:r>
      <w:r w:rsidR="00CC4734">
        <w:t>S</w:t>
      </w:r>
      <w:r w:rsidR="001C7AA0" w:rsidRPr="003C5180">
        <w:t>ponsor</w:t>
      </w:r>
      <w:r w:rsidRPr="003C5180">
        <w:t xml:space="preserve"> will notify all SUSARs to the MHRA electronically and the REC u</w:t>
      </w:r>
      <w:r w:rsidR="001C7AA0" w:rsidRPr="003C5180">
        <w:t>tili</w:t>
      </w:r>
      <w:r w:rsidRPr="003C5180">
        <w:t>sing the eSUSAR system</w:t>
      </w:r>
      <w:r w:rsidR="00176265">
        <w:t xml:space="preserve"> and </w:t>
      </w:r>
      <w:r w:rsidR="00176265" w:rsidRPr="00176265">
        <w:t>within the required expedited reporting timescales</w:t>
      </w:r>
      <w:r w:rsidR="00BC436E">
        <w:t>:</w:t>
      </w:r>
      <w:r w:rsidRPr="003C5180">
        <w:t xml:space="preserve"> </w:t>
      </w:r>
    </w:p>
    <w:p w14:paraId="3D368293" w14:textId="77777777" w:rsidR="002D7664" w:rsidRPr="003C5180" w:rsidRDefault="001C7AA0" w:rsidP="00A04B6F">
      <w:pPr>
        <w:numPr>
          <w:ilvl w:val="0"/>
          <w:numId w:val="52"/>
        </w:numPr>
        <w:jc w:val="both"/>
      </w:pPr>
      <w:r w:rsidRPr="003C5180">
        <w:t xml:space="preserve">The </w:t>
      </w:r>
      <w:r w:rsidR="00CC4734">
        <w:t>S</w:t>
      </w:r>
      <w:r w:rsidRPr="003C5180">
        <w:t>ponsor</w:t>
      </w:r>
      <w:r w:rsidR="002D7664" w:rsidRPr="003C5180">
        <w:t xml:space="preserve"> will inform the MHRA and the REC of fatal or life threatening SUSARs as soon as possible, but no later than 7 calendar days after the </w:t>
      </w:r>
      <w:r w:rsidRPr="003C5180">
        <w:t>receipt of</w:t>
      </w:r>
      <w:r w:rsidR="002D7664" w:rsidRPr="003C5180">
        <w:t xml:space="preserve"> the SAE report form. Any additional information will be reported within 8 days of sending the </w:t>
      </w:r>
      <w:r w:rsidRPr="003C5180">
        <w:t>initial</w:t>
      </w:r>
      <w:r w:rsidR="002D7664" w:rsidRPr="003C5180">
        <w:t xml:space="preserve"> report.</w:t>
      </w:r>
    </w:p>
    <w:p w14:paraId="6F3C1EE9" w14:textId="77777777" w:rsidR="002D7664" w:rsidRPr="003C5180" w:rsidRDefault="002D7664" w:rsidP="00A04B6F">
      <w:pPr>
        <w:numPr>
          <w:ilvl w:val="0"/>
          <w:numId w:val="52"/>
        </w:numPr>
        <w:jc w:val="both"/>
      </w:pPr>
      <w:r w:rsidRPr="003C5180">
        <w:t xml:space="preserve">The </w:t>
      </w:r>
      <w:r w:rsidR="00CC4734">
        <w:t>S</w:t>
      </w:r>
      <w:r w:rsidR="001C7AA0" w:rsidRPr="003C5180">
        <w:t>ponsor</w:t>
      </w:r>
      <w:r w:rsidRPr="003C5180">
        <w:t xml:space="preserve"> must report all other SUSARs and safety issues to the MHRA and REC, as soon as possible but no later than 15 calendar days after the </w:t>
      </w:r>
      <w:r w:rsidR="00CC4734">
        <w:t>S</w:t>
      </w:r>
      <w:r w:rsidR="001C7AA0" w:rsidRPr="003C5180">
        <w:t>ponsor</w:t>
      </w:r>
      <w:r w:rsidRPr="003C5180">
        <w:t xml:space="preserve"> has first knowledge of the</w:t>
      </w:r>
      <w:r w:rsidR="001C7AA0" w:rsidRPr="003C5180">
        <w:t xml:space="preserve"> minimum criteria for expedited</w:t>
      </w:r>
      <w:r w:rsidRPr="003C5180">
        <w:t xml:space="preserve"> reporting. </w:t>
      </w:r>
    </w:p>
    <w:p w14:paraId="707AC4DB" w14:textId="77777777" w:rsidR="00840FF7" w:rsidRPr="003C5180" w:rsidRDefault="00E42979" w:rsidP="00BA146E">
      <w:pPr>
        <w:jc w:val="both"/>
      </w:pPr>
      <w:r w:rsidRPr="003C5180">
        <w:t>Causality Assessment</w:t>
      </w:r>
      <w:r w:rsidR="00840FF7" w:rsidRPr="003C5180">
        <w:t>—</w:t>
      </w:r>
      <w:r w:rsidR="00853508" w:rsidRPr="003C5180">
        <w:t>must be made by a medically qualified doctor as these decisions require medical and scientific judgment as well as knowledge of the participant concerned. T</w:t>
      </w:r>
      <w:r w:rsidR="00840FF7" w:rsidRPr="003C5180">
        <w:t xml:space="preserve">he </w:t>
      </w:r>
      <w:r w:rsidRPr="003C5180">
        <w:t xml:space="preserve">investigator must assess the causality of all SAEs or SARs in relation to the IMP using the </w:t>
      </w:r>
      <w:r w:rsidR="00840FF7" w:rsidRPr="003C5180">
        <w:t xml:space="preserve">following </w:t>
      </w:r>
      <w:r w:rsidRPr="003C5180">
        <w:t>descriptions</w:t>
      </w:r>
      <w:r w:rsidR="00840FF7" w:rsidRPr="003C5180">
        <w:t>:</w:t>
      </w:r>
    </w:p>
    <w:p w14:paraId="30DEFB46"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Definitely—there is clear evidence to suggest a causal relationship, and other possible contributing factors can be ruled out.</w:t>
      </w:r>
    </w:p>
    <w:p w14:paraId="755A6DB0"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Probably—there is evidence to suggest a causal relationship, and the influence of other factors is unlikely.</w:t>
      </w:r>
    </w:p>
    <w:p w14:paraId="292F0129"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Possibly—there is some evidence to suggest a causal relationship (e.g. the event occurred within a reasonable time after administration of the trial medication). However, the influence of other factors may have contributed to the event (i.e. the patient’s clinical condition, other concomitant events).</w:t>
      </w:r>
    </w:p>
    <w:p w14:paraId="0B4C3E11"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 xml:space="preserve">Unlikely—there is little evidence to suggest there is a causal relationship (e.g. the event did not occur within a reasonable time after administration of the trial medication). There is another reasonable explanation for the event (e.g. the </w:t>
      </w:r>
      <w:r w:rsidR="00733CD9" w:rsidRPr="003C5180">
        <w:rPr>
          <w:color w:val="auto"/>
          <w:kern w:val="0"/>
          <w:szCs w:val="24"/>
          <w:lang w:eastAsia="en-US"/>
        </w:rPr>
        <w:t>participant’s</w:t>
      </w:r>
      <w:r w:rsidRPr="003C5180">
        <w:rPr>
          <w:color w:val="auto"/>
          <w:kern w:val="0"/>
          <w:szCs w:val="24"/>
          <w:lang w:eastAsia="en-US"/>
        </w:rPr>
        <w:t xml:space="preserve"> clinical condition, </w:t>
      </w:r>
      <w:r w:rsidR="00E42979" w:rsidRPr="003C5180">
        <w:rPr>
          <w:color w:val="auto"/>
          <w:kern w:val="0"/>
          <w:szCs w:val="24"/>
          <w:lang w:eastAsia="en-US"/>
        </w:rPr>
        <w:t xml:space="preserve">or </w:t>
      </w:r>
      <w:r w:rsidRPr="003C5180">
        <w:rPr>
          <w:color w:val="auto"/>
          <w:kern w:val="0"/>
          <w:szCs w:val="24"/>
          <w:lang w:eastAsia="en-US"/>
        </w:rPr>
        <w:t>other concomitant treatments).</w:t>
      </w:r>
    </w:p>
    <w:p w14:paraId="06F5C030" w14:textId="77777777" w:rsidR="00840FF7" w:rsidRPr="003C5180" w:rsidRDefault="00E42979" w:rsidP="00BA146E">
      <w:pPr>
        <w:pStyle w:val="Bulletlist-old"/>
        <w:jc w:val="both"/>
        <w:rPr>
          <w:color w:val="auto"/>
          <w:kern w:val="0"/>
          <w:szCs w:val="24"/>
          <w:lang w:eastAsia="en-US"/>
        </w:rPr>
      </w:pPr>
      <w:r w:rsidRPr="003C5180">
        <w:rPr>
          <w:color w:val="auto"/>
          <w:kern w:val="0"/>
          <w:szCs w:val="24"/>
          <w:lang w:eastAsia="en-US"/>
        </w:rPr>
        <w:t>Un</w:t>
      </w:r>
      <w:r w:rsidR="00840FF7" w:rsidRPr="003C5180">
        <w:rPr>
          <w:color w:val="auto"/>
          <w:kern w:val="0"/>
          <w:szCs w:val="24"/>
          <w:lang w:eastAsia="en-US"/>
        </w:rPr>
        <w:t>related—there is no evidence of any causal relationship.</w:t>
      </w:r>
    </w:p>
    <w:p w14:paraId="1CDA92C8"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Not Assessable</w:t>
      </w:r>
      <w:r w:rsidR="00853508" w:rsidRPr="003C5180">
        <w:rPr>
          <w:color w:val="auto"/>
          <w:kern w:val="0"/>
          <w:szCs w:val="24"/>
          <w:lang w:eastAsia="en-US"/>
        </w:rPr>
        <w:t xml:space="preserve"> – </w:t>
      </w:r>
      <w:r w:rsidR="00585A54" w:rsidRPr="003C5180">
        <w:rPr>
          <w:color w:val="auto"/>
          <w:kern w:val="0"/>
          <w:szCs w:val="24"/>
          <w:lang w:eastAsia="en-US"/>
        </w:rPr>
        <w:t xml:space="preserve">note </w:t>
      </w:r>
      <w:r w:rsidR="00B83370" w:rsidRPr="003C5180">
        <w:rPr>
          <w:color w:val="auto"/>
          <w:kern w:val="0"/>
          <w:szCs w:val="24"/>
          <w:lang w:eastAsia="en-US"/>
        </w:rPr>
        <w:t>- if</w:t>
      </w:r>
      <w:r w:rsidR="00853508" w:rsidRPr="003C5180">
        <w:rPr>
          <w:color w:val="auto"/>
          <w:kern w:val="0"/>
          <w:szCs w:val="24"/>
          <w:lang w:eastAsia="en-US"/>
        </w:rPr>
        <w:t xml:space="preserve"> this description is used the sponsor will assume the event is related to the IMP</w:t>
      </w:r>
      <w:r w:rsidR="006C3F43" w:rsidRPr="003C5180">
        <w:rPr>
          <w:color w:val="auto"/>
          <w:kern w:val="0"/>
          <w:szCs w:val="24"/>
          <w:lang w:eastAsia="en-US"/>
        </w:rPr>
        <w:t xml:space="preserve"> until follow up information is received from the investigator</w:t>
      </w:r>
      <w:r w:rsidR="00585A54" w:rsidRPr="003C5180">
        <w:rPr>
          <w:color w:val="auto"/>
          <w:kern w:val="0"/>
          <w:szCs w:val="24"/>
          <w:lang w:eastAsia="en-US"/>
        </w:rPr>
        <w:t xml:space="preserve"> to confirm a definitive causality assessment</w:t>
      </w:r>
    </w:p>
    <w:p w14:paraId="083DD5FB" w14:textId="77777777" w:rsidR="00E10C7F" w:rsidRPr="003C5180" w:rsidRDefault="001C7AA0" w:rsidP="00BA146E">
      <w:pPr>
        <w:jc w:val="both"/>
      </w:pPr>
      <w:r w:rsidRPr="003C5180">
        <w:t>Any SUSAR assessed as related to the IMP will need to be reported to the Sponsor irrespective of how long after IMP administration the reaction has occurred.</w:t>
      </w:r>
    </w:p>
    <w:p w14:paraId="4746B10F" w14:textId="77777777" w:rsidR="00840FF7" w:rsidRPr="003C5180" w:rsidRDefault="00840FF7" w:rsidP="00BA146E">
      <w:pPr>
        <w:jc w:val="both"/>
      </w:pPr>
      <w:r w:rsidRPr="003C5180">
        <w:t xml:space="preserve">Expectedness </w:t>
      </w:r>
      <w:r w:rsidR="00073C83" w:rsidRPr="003C5180">
        <w:t>should be based solely on the</w:t>
      </w:r>
      <w:r w:rsidR="001C7AA0" w:rsidRPr="003C5180">
        <w:t xml:space="preserve"> available</w:t>
      </w:r>
      <w:r w:rsidR="00073C83" w:rsidRPr="003C5180">
        <w:t xml:space="preserve"> RSI </w:t>
      </w:r>
      <w:r w:rsidR="001C7AA0" w:rsidRPr="003C5180">
        <w:t>for</w:t>
      </w:r>
      <w:r w:rsidR="00073C83" w:rsidRPr="003C5180">
        <w:t xml:space="preserve"> the IMP and </w:t>
      </w:r>
      <w:r w:rsidRPr="003C5180">
        <w:t>will be described using following categories:</w:t>
      </w:r>
    </w:p>
    <w:p w14:paraId="7E037319"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 xml:space="preserve">Expected—an AE that is classed in nature as serious and which is consistent with the information about the IMP listed in the </w:t>
      </w:r>
      <w:r w:rsidR="006C3F43" w:rsidRPr="003C5180">
        <w:rPr>
          <w:color w:val="auto"/>
          <w:kern w:val="0"/>
          <w:szCs w:val="24"/>
          <w:lang w:eastAsia="en-US"/>
        </w:rPr>
        <w:t>RSI</w:t>
      </w:r>
      <w:r w:rsidRPr="003C5180">
        <w:rPr>
          <w:color w:val="auto"/>
          <w:kern w:val="0"/>
          <w:szCs w:val="24"/>
          <w:lang w:eastAsia="en-US"/>
        </w:rPr>
        <w:t xml:space="preserve"> or clearly defined in this protocol.</w:t>
      </w:r>
    </w:p>
    <w:p w14:paraId="65638070" w14:textId="77777777" w:rsidR="00840FF7" w:rsidRPr="003C5180" w:rsidRDefault="00840FF7" w:rsidP="00BA146E">
      <w:pPr>
        <w:pStyle w:val="Bulletlist-old"/>
        <w:jc w:val="both"/>
        <w:rPr>
          <w:color w:val="auto"/>
          <w:kern w:val="0"/>
          <w:szCs w:val="24"/>
          <w:lang w:eastAsia="en-US"/>
        </w:rPr>
      </w:pPr>
      <w:r w:rsidRPr="003C5180">
        <w:rPr>
          <w:color w:val="auto"/>
          <w:kern w:val="0"/>
          <w:szCs w:val="24"/>
          <w:lang w:eastAsia="en-US"/>
        </w:rPr>
        <w:t xml:space="preserve">Unexpected—an AE that is classed in nature as serious and which is not consistent with the information about the IMP listed in the </w:t>
      </w:r>
      <w:r w:rsidR="006C3F43" w:rsidRPr="003C5180">
        <w:rPr>
          <w:color w:val="auto"/>
          <w:kern w:val="0"/>
          <w:szCs w:val="24"/>
          <w:lang w:eastAsia="en-US"/>
        </w:rPr>
        <w:t>RSI</w:t>
      </w:r>
    </w:p>
    <w:p w14:paraId="35433A5B" w14:textId="77777777" w:rsidR="004571CC" w:rsidRPr="003C5180" w:rsidRDefault="004571CC" w:rsidP="00BA146E">
      <w:pPr>
        <w:jc w:val="both"/>
      </w:pPr>
      <w:r w:rsidRPr="003C5180">
        <w:t xml:space="preserve">The </w:t>
      </w:r>
      <w:r w:rsidR="006C3F43" w:rsidRPr="003C5180">
        <w:t xml:space="preserve">completed </w:t>
      </w:r>
      <w:r w:rsidRPr="003C5180">
        <w:t xml:space="preserve">AE Log </w:t>
      </w:r>
      <w:r w:rsidR="006C3F43" w:rsidRPr="003C5180">
        <w:t xml:space="preserve">JREOLOG0007 </w:t>
      </w:r>
      <w:r w:rsidR="00433FF6">
        <w:t xml:space="preserve">should be regularly reviewed and signed by the PI to detect any change in frequency or severity of reported events. The log </w:t>
      </w:r>
      <w:r w:rsidRPr="003C5180">
        <w:t xml:space="preserve">will be sent to Sponsor </w:t>
      </w:r>
      <w:r w:rsidR="006C3F43" w:rsidRPr="003C5180">
        <w:t>up</w:t>
      </w:r>
      <w:r w:rsidRPr="003C5180">
        <w:t>on request and</w:t>
      </w:r>
      <w:r w:rsidR="006C3F43" w:rsidRPr="003C5180">
        <w:t>/or</w:t>
      </w:r>
      <w:r w:rsidRPr="003C5180">
        <w:t xml:space="preserve"> every 2 months. </w:t>
      </w:r>
    </w:p>
    <w:p w14:paraId="6F227D96" w14:textId="77777777" w:rsidR="004571CC" w:rsidRPr="003C5180" w:rsidRDefault="00BA146E" w:rsidP="00BA146E">
      <w:pPr>
        <w:jc w:val="both"/>
      </w:pPr>
      <w:r w:rsidRPr="003C5180">
        <w:t>The Chief or Principal Investigator will respond to any SAE queries raised by the Sponsor as soon as possible.</w:t>
      </w:r>
      <w:r w:rsidR="006C3F43" w:rsidRPr="003C5180">
        <w:t xml:space="preserve"> Follow up reports must continually be completed within acceptable time-frames and sent to the sponsor as detailed above until the reportable event is considered resolved.</w:t>
      </w:r>
    </w:p>
    <w:p w14:paraId="1938DD1A" w14:textId="77777777" w:rsidR="0073422C" w:rsidRPr="003C5180" w:rsidRDefault="0073422C" w:rsidP="00BA146E">
      <w:pPr>
        <w:jc w:val="both"/>
      </w:pPr>
      <w:r w:rsidRPr="003C5180">
        <w:t xml:space="preserve">All SAEs and SARs which occur at other sites will be notified to the </w:t>
      </w:r>
      <w:r w:rsidR="00464477">
        <w:t>S</w:t>
      </w:r>
      <w:r w:rsidRPr="003C5180">
        <w:t xml:space="preserve">ponsor and to the CI within 24 hours. If there is safety information which needs to be disseminated relating to the study, the lead investigator at SGUL or a delegate will communicate with the PIs at the other sites.  </w:t>
      </w:r>
      <w:r w:rsidR="00A82901">
        <w:t xml:space="preserve">All SAEs will be communicated to GSK within 24 hours of </w:t>
      </w:r>
      <w:r w:rsidR="00464477">
        <w:t>S</w:t>
      </w:r>
      <w:r w:rsidR="00A82901">
        <w:t>ponsor’s first awareness of the event</w:t>
      </w:r>
      <w:r w:rsidR="007201D9">
        <w:t xml:space="preserve"> by the team at SGUL.</w:t>
      </w:r>
      <w:r w:rsidR="00F84C37" w:rsidRPr="00F84C37">
        <w:t xml:space="preserve"> </w:t>
      </w:r>
      <w:r w:rsidR="00F84C37">
        <w:t xml:space="preserve"> </w:t>
      </w:r>
      <w:r w:rsidR="00A82901">
        <w:t xml:space="preserve">Follow up information on safety reports will be provided within 24 hours of any request. Any emerging safety issues related to Bexsero and in connection with the study will be communicated to GSK within 48 hours of the </w:t>
      </w:r>
      <w:r w:rsidR="00464477">
        <w:t>S</w:t>
      </w:r>
      <w:r w:rsidR="00A82901">
        <w:t xml:space="preserve">ponsor becoming aware of them. </w:t>
      </w:r>
    </w:p>
    <w:p w14:paraId="358700CB" w14:textId="77777777" w:rsidR="004571CC" w:rsidRPr="003C5180" w:rsidRDefault="004571CC" w:rsidP="008B45E8">
      <w:pPr>
        <w:pStyle w:val="Heading2"/>
        <w:numPr>
          <w:ilvl w:val="1"/>
          <w:numId w:val="42"/>
        </w:numPr>
        <w:rPr>
          <w:rFonts w:cs="Tahoma"/>
          <w:sz w:val="24"/>
        </w:rPr>
      </w:pPr>
      <w:bookmarkStart w:id="112" w:name="_Toc261532701"/>
      <w:bookmarkStart w:id="113" w:name="_Toc470102495"/>
      <w:r w:rsidRPr="003C5180">
        <w:rPr>
          <w:rFonts w:cs="Tahoma"/>
          <w:sz w:val="24"/>
        </w:rPr>
        <w:t>Notification of deaths</w:t>
      </w:r>
      <w:bookmarkEnd w:id="112"/>
      <w:bookmarkEnd w:id="113"/>
    </w:p>
    <w:p w14:paraId="17363720" w14:textId="77777777" w:rsidR="001C7AA0" w:rsidRPr="003C5180" w:rsidRDefault="00922857" w:rsidP="0068298C">
      <w:pPr>
        <w:jc w:val="both"/>
      </w:pPr>
      <w:r w:rsidRPr="003C5180">
        <w:t xml:space="preserve"> </w:t>
      </w:r>
      <w:r w:rsidR="0068298C" w:rsidRPr="003C5180">
        <w:t xml:space="preserve">All deaths will be reported to the </w:t>
      </w:r>
      <w:r w:rsidR="00D47E40" w:rsidRPr="003C5180">
        <w:t>S</w:t>
      </w:r>
      <w:r w:rsidR="0068298C" w:rsidRPr="003C5180">
        <w:t xml:space="preserve">ponsor </w:t>
      </w:r>
      <w:r w:rsidR="00467935">
        <w:t>immediately upon</w:t>
      </w:r>
      <w:r w:rsidR="00740EB3">
        <w:rPr>
          <w:vertAlign w:val="superscript"/>
        </w:rPr>
        <w:t xml:space="preserve"> </w:t>
      </w:r>
      <w:r w:rsidR="00740EB3">
        <w:t>first</w:t>
      </w:r>
      <w:r w:rsidR="00467935">
        <w:t xml:space="preserve"> knowledge </w:t>
      </w:r>
      <w:r w:rsidR="0068298C" w:rsidRPr="003C5180">
        <w:t xml:space="preserve">irrespective of whether the death is related to disease progression, </w:t>
      </w:r>
      <w:r w:rsidRPr="003C5180">
        <w:t>the IMP, or an unrelated event.</w:t>
      </w:r>
      <w:r w:rsidR="0068298C" w:rsidRPr="003C5180">
        <w:t xml:space="preserve"> </w:t>
      </w:r>
    </w:p>
    <w:p w14:paraId="15ED9620" w14:textId="77777777" w:rsidR="004571CC" w:rsidRPr="003C5180" w:rsidRDefault="004571CC" w:rsidP="008B45E8">
      <w:pPr>
        <w:pStyle w:val="Heading2"/>
        <w:numPr>
          <w:ilvl w:val="1"/>
          <w:numId w:val="42"/>
        </w:numPr>
        <w:rPr>
          <w:rFonts w:cs="Tahoma"/>
          <w:sz w:val="24"/>
        </w:rPr>
      </w:pPr>
      <w:bookmarkStart w:id="114" w:name="_Toc261532705"/>
      <w:bookmarkStart w:id="115" w:name="_Toc470102496"/>
      <w:r w:rsidRPr="003C5180">
        <w:rPr>
          <w:rFonts w:cs="Tahoma"/>
          <w:sz w:val="24"/>
        </w:rPr>
        <w:t>Annual Progress Reports (APRs)</w:t>
      </w:r>
      <w:bookmarkEnd w:id="114"/>
      <w:bookmarkEnd w:id="115"/>
    </w:p>
    <w:p w14:paraId="485ECF62" w14:textId="543EE645" w:rsidR="003A6F5A" w:rsidRPr="003C5180" w:rsidRDefault="004571CC" w:rsidP="00A52E7D">
      <w:pPr>
        <w:jc w:val="both"/>
      </w:pPr>
      <w:r w:rsidRPr="003C5180">
        <w:t>The Chief Investigator will prepare the APR</w:t>
      </w:r>
      <w:r w:rsidR="00A77851" w:rsidRPr="003C5180">
        <w:t xml:space="preserve"> in accordance with JREOSOP0043</w:t>
      </w:r>
      <w:r w:rsidRPr="003C5180">
        <w:t xml:space="preserve">. </w:t>
      </w:r>
      <w:r w:rsidR="00A77851" w:rsidRPr="003C5180">
        <w:t>Following review</w:t>
      </w:r>
      <w:r w:rsidRPr="003C5180">
        <w:t xml:space="preserve"> by the </w:t>
      </w:r>
      <w:r w:rsidR="00A77851" w:rsidRPr="003C5180">
        <w:t>sponsor the report will be</w:t>
      </w:r>
      <w:r w:rsidRPr="003C5180">
        <w:t xml:space="preserve"> sent to the REC</w:t>
      </w:r>
      <w:r w:rsidR="00A77851" w:rsidRPr="003C5180">
        <w:t>. The APR is due for submission</w:t>
      </w:r>
      <w:r w:rsidRPr="003C5180">
        <w:t xml:space="preserve"> </w:t>
      </w:r>
      <w:r w:rsidR="00A77851" w:rsidRPr="003C5180">
        <w:t xml:space="preserve">annually </w:t>
      </w:r>
      <w:r w:rsidRPr="003C5180">
        <w:t>within 30 days of the anniversary date on which the favourable opinion was given</w:t>
      </w:r>
      <w:r w:rsidR="00D47E40" w:rsidRPr="003C5180">
        <w:t xml:space="preserve"> by the Ethics committee</w:t>
      </w:r>
      <w:r w:rsidRPr="003C5180">
        <w:t>, until the trial is declared ended.</w:t>
      </w:r>
    </w:p>
    <w:p w14:paraId="16B35066" w14:textId="77777777" w:rsidR="004571CC" w:rsidRPr="003C5180" w:rsidRDefault="00835F99" w:rsidP="008B45E8">
      <w:pPr>
        <w:pStyle w:val="Heading2"/>
        <w:numPr>
          <w:ilvl w:val="1"/>
          <w:numId w:val="42"/>
        </w:numPr>
        <w:rPr>
          <w:rFonts w:cs="Tahoma"/>
          <w:sz w:val="24"/>
        </w:rPr>
      </w:pPr>
      <w:bookmarkStart w:id="116" w:name="_Toc261532707"/>
      <w:bookmarkStart w:id="117" w:name="_Toc470102497"/>
      <w:r w:rsidRPr="003C5180">
        <w:rPr>
          <w:rFonts w:cs="Tahoma"/>
          <w:sz w:val="24"/>
        </w:rPr>
        <w:t>Reporting Urgent S</w:t>
      </w:r>
      <w:r w:rsidR="004571CC" w:rsidRPr="003C5180">
        <w:rPr>
          <w:rFonts w:cs="Tahoma"/>
          <w:sz w:val="24"/>
        </w:rPr>
        <w:t xml:space="preserve">afety </w:t>
      </w:r>
      <w:r w:rsidRPr="003C5180">
        <w:rPr>
          <w:rFonts w:cs="Tahoma"/>
          <w:sz w:val="24"/>
        </w:rPr>
        <w:t>M</w:t>
      </w:r>
      <w:r w:rsidR="004571CC" w:rsidRPr="003C5180">
        <w:rPr>
          <w:rFonts w:cs="Tahoma"/>
          <w:sz w:val="24"/>
        </w:rPr>
        <w:t>easures</w:t>
      </w:r>
      <w:bookmarkEnd w:id="116"/>
      <w:bookmarkEnd w:id="117"/>
    </w:p>
    <w:p w14:paraId="782019F1" w14:textId="77777777" w:rsidR="004571CC" w:rsidRPr="003C5180" w:rsidRDefault="00C44CE8" w:rsidP="00A52E7D">
      <w:pPr>
        <w:jc w:val="both"/>
      </w:pPr>
      <w:r w:rsidRPr="003C5180">
        <w:t xml:space="preserve">The </w:t>
      </w:r>
      <w:r w:rsidR="00CC4734">
        <w:t>S</w:t>
      </w:r>
      <w:r w:rsidRPr="003C5180">
        <w:t xml:space="preserve">ponsor and Investigator may take appropriate urgent safety measures in order to protect the participants against any immediate hazard to their health or safety. If such measures are taken the </w:t>
      </w:r>
      <w:r w:rsidR="00CC4734">
        <w:t>S</w:t>
      </w:r>
      <w:r w:rsidRPr="003C5180">
        <w:t xml:space="preserve">ponsor shall immediately or no later than 3 days from the date the measures are taken give written notice to the MHRA and REC of the measures taken and the circumstances given rise to such measures. The CI must notify the </w:t>
      </w:r>
      <w:r w:rsidR="00CC4734">
        <w:t>S</w:t>
      </w:r>
      <w:r w:rsidRPr="003C5180">
        <w:t>ponsor immediately to facilitate compliance with the regulations.</w:t>
      </w:r>
      <w:r w:rsidR="00467935">
        <w:t xml:space="preserve">  The Sponsor will assist the CI in cascading relevant information to participating sites and relevant staff.</w:t>
      </w:r>
    </w:p>
    <w:p w14:paraId="029017EF" w14:textId="77777777" w:rsidR="004571CC" w:rsidRPr="003C5180" w:rsidRDefault="00C44CE8" w:rsidP="00A52E7D">
      <w:pPr>
        <w:jc w:val="both"/>
      </w:pPr>
      <w:r w:rsidRPr="003C5180">
        <w:t xml:space="preserve">Refer to </w:t>
      </w:r>
      <w:r w:rsidR="00CC4734">
        <w:t>S</w:t>
      </w:r>
      <w:r w:rsidRPr="003C5180">
        <w:t xml:space="preserve">ponsor SOP Management of </w:t>
      </w:r>
      <w:r w:rsidR="00497E27" w:rsidRPr="003C5180">
        <w:t>Amendments JREOSOP0011</w:t>
      </w:r>
      <w:r w:rsidRPr="003C5180">
        <w:t xml:space="preserve"> for guidance</w:t>
      </w:r>
      <w:r w:rsidR="00F117A5" w:rsidRPr="003C5180">
        <w:t>.</w:t>
      </w:r>
    </w:p>
    <w:p w14:paraId="6CF2D628" w14:textId="77777777" w:rsidR="004571CC" w:rsidRPr="003C5180" w:rsidRDefault="00835F99" w:rsidP="008B45E8">
      <w:pPr>
        <w:pStyle w:val="Heading2"/>
        <w:numPr>
          <w:ilvl w:val="1"/>
          <w:numId w:val="42"/>
        </w:numPr>
        <w:rPr>
          <w:rFonts w:cs="Tahoma"/>
          <w:sz w:val="24"/>
        </w:rPr>
      </w:pPr>
      <w:bookmarkStart w:id="118" w:name="_Toc261532708"/>
      <w:bookmarkStart w:id="119" w:name="_Toc470102498"/>
      <w:r w:rsidRPr="003C5180">
        <w:rPr>
          <w:rFonts w:cs="Tahoma"/>
          <w:sz w:val="24"/>
        </w:rPr>
        <w:t>Notification of S</w:t>
      </w:r>
      <w:r w:rsidR="004571CC" w:rsidRPr="003C5180">
        <w:rPr>
          <w:rFonts w:cs="Tahoma"/>
          <w:sz w:val="24"/>
        </w:rPr>
        <w:t xml:space="preserve">erious </w:t>
      </w:r>
      <w:r w:rsidRPr="003C5180">
        <w:rPr>
          <w:rFonts w:cs="Tahoma"/>
          <w:sz w:val="24"/>
        </w:rPr>
        <w:t>B</w:t>
      </w:r>
      <w:r w:rsidR="004571CC" w:rsidRPr="003C5180">
        <w:rPr>
          <w:rFonts w:cs="Tahoma"/>
          <w:sz w:val="24"/>
        </w:rPr>
        <w:t xml:space="preserve">reaches </w:t>
      </w:r>
      <w:r w:rsidRPr="003C5180">
        <w:rPr>
          <w:rFonts w:cs="Tahoma"/>
          <w:sz w:val="24"/>
        </w:rPr>
        <w:t>of</w:t>
      </w:r>
      <w:r w:rsidR="004571CC" w:rsidRPr="003C5180">
        <w:rPr>
          <w:rFonts w:cs="Tahoma"/>
          <w:sz w:val="24"/>
        </w:rPr>
        <w:t xml:space="preserve"> GCP and/or the protocol</w:t>
      </w:r>
      <w:bookmarkEnd w:id="118"/>
      <w:bookmarkEnd w:id="119"/>
    </w:p>
    <w:p w14:paraId="3B0EAE6D" w14:textId="77777777" w:rsidR="00497E27" w:rsidRPr="003C5180" w:rsidRDefault="004571CC" w:rsidP="00A52E7D">
      <w:pPr>
        <w:jc w:val="both"/>
      </w:pPr>
      <w:r w:rsidRPr="003C5180">
        <w:t>Any Protocol Deviations, Violations</w:t>
      </w:r>
      <w:r w:rsidR="00497E27" w:rsidRPr="003C5180">
        <w:t xml:space="preserve"> will be documented using JREODOC0061</w:t>
      </w:r>
      <w:r w:rsidRPr="003C5180">
        <w:t>,</w:t>
      </w:r>
      <w:r w:rsidR="00497E27" w:rsidRPr="003C5180">
        <w:t xml:space="preserve"> and entered onto</w:t>
      </w:r>
      <w:r w:rsidR="005F120F" w:rsidRPr="003C5180">
        <w:t xml:space="preserve"> the </w:t>
      </w:r>
      <w:r w:rsidR="00CC4734">
        <w:t>S</w:t>
      </w:r>
      <w:r w:rsidR="00CC4734" w:rsidRPr="003C5180">
        <w:t xml:space="preserve">ponsor’s </w:t>
      </w:r>
      <w:r w:rsidR="005F120F" w:rsidRPr="003C5180">
        <w:t xml:space="preserve">log JREOLOG0005. </w:t>
      </w:r>
      <w:r w:rsidRPr="003C5180">
        <w:t xml:space="preserve">Potential Serious Breaches and </w:t>
      </w:r>
      <w:r w:rsidR="003727A9" w:rsidRPr="003C5180">
        <w:t>U</w:t>
      </w:r>
      <w:r w:rsidRPr="003C5180">
        <w:t xml:space="preserve">rgent </w:t>
      </w:r>
      <w:r w:rsidR="003727A9" w:rsidRPr="003C5180">
        <w:t>S</w:t>
      </w:r>
      <w:r w:rsidRPr="003C5180">
        <w:t xml:space="preserve">afety </w:t>
      </w:r>
      <w:r w:rsidR="003727A9" w:rsidRPr="003C5180">
        <w:t>M</w:t>
      </w:r>
      <w:r w:rsidRPr="003C5180">
        <w:t xml:space="preserve">easures will be recorded </w:t>
      </w:r>
      <w:r w:rsidR="00497E27" w:rsidRPr="003C5180">
        <w:t>both on</w:t>
      </w:r>
      <w:r w:rsidRPr="003C5180">
        <w:t xml:space="preserve"> </w:t>
      </w:r>
      <w:r w:rsidR="003727A9" w:rsidRPr="003C5180">
        <w:t xml:space="preserve">the </w:t>
      </w:r>
      <w:r w:rsidRPr="003C5180">
        <w:t xml:space="preserve">Sponsor’s Log </w:t>
      </w:r>
      <w:r w:rsidR="00497E27" w:rsidRPr="003C5180">
        <w:t xml:space="preserve">JREOLOG0005 and </w:t>
      </w:r>
      <w:r w:rsidR="005F120F" w:rsidRPr="003C5180">
        <w:t xml:space="preserve">processed </w:t>
      </w:r>
      <w:r w:rsidR="00497E27" w:rsidRPr="003C5180">
        <w:t>according to JREOSOP0012 and where necessary JREOSOP0032</w:t>
      </w:r>
    </w:p>
    <w:p w14:paraId="3D4659C0" w14:textId="77777777" w:rsidR="004571CC" w:rsidRPr="003C5180" w:rsidRDefault="00497E27" w:rsidP="00A52E7D">
      <w:pPr>
        <w:jc w:val="both"/>
      </w:pPr>
      <w:r w:rsidRPr="003C5180">
        <w:t>A</w:t>
      </w:r>
      <w:r w:rsidR="004571CC" w:rsidRPr="003C5180">
        <w:t xml:space="preserve"> “serious breach” is a breach which is likely to effect to a significant degree</w:t>
      </w:r>
      <w:r w:rsidR="003727A9" w:rsidRPr="003C5180">
        <w:t>:</w:t>
      </w:r>
    </w:p>
    <w:p w14:paraId="4EEDDF89" w14:textId="77777777" w:rsidR="004571CC" w:rsidRPr="003C5180" w:rsidRDefault="004571CC" w:rsidP="00A52E7D">
      <w:pPr>
        <w:jc w:val="both"/>
      </w:pPr>
      <w:r w:rsidRPr="003C5180">
        <w:t xml:space="preserve">(a) </w:t>
      </w:r>
      <w:r w:rsidR="00FD74F8" w:rsidRPr="003C5180">
        <w:t>The</w:t>
      </w:r>
      <w:r w:rsidRPr="003C5180">
        <w:t xml:space="preserve"> safety or physical or mental integrity of the </w:t>
      </w:r>
      <w:r w:rsidR="00497E27" w:rsidRPr="003C5180">
        <w:t>participants</w:t>
      </w:r>
      <w:r w:rsidRPr="003C5180">
        <w:t xml:space="preserve"> of the trial; or</w:t>
      </w:r>
    </w:p>
    <w:p w14:paraId="16A55ADF" w14:textId="77777777" w:rsidR="004571CC" w:rsidRPr="003C5180" w:rsidRDefault="004571CC" w:rsidP="00A52E7D">
      <w:pPr>
        <w:jc w:val="both"/>
      </w:pPr>
      <w:r w:rsidRPr="003C5180">
        <w:t xml:space="preserve">(b) </w:t>
      </w:r>
      <w:r w:rsidR="00FD74F8" w:rsidRPr="003C5180">
        <w:t>The</w:t>
      </w:r>
      <w:r w:rsidRPr="003C5180">
        <w:t xml:space="preserve"> scientific value of the trial.</w:t>
      </w:r>
    </w:p>
    <w:p w14:paraId="609BD728" w14:textId="77777777" w:rsidR="00D3364A" w:rsidRPr="003C5180" w:rsidRDefault="004571CC" w:rsidP="00A52E7D">
      <w:pPr>
        <w:jc w:val="both"/>
      </w:pPr>
      <w:r w:rsidRPr="003C5180">
        <w:t xml:space="preserve">The </w:t>
      </w:r>
      <w:r w:rsidR="005F120F" w:rsidRPr="003C5180">
        <w:t xml:space="preserve">CI will notify the </w:t>
      </w:r>
      <w:r w:rsidRPr="003C5180">
        <w:t xml:space="preserve">Sponsor immediately of any case where </w:t>
      </w:r>
      <w:r w:rsidR="005F120F" w:rsidRPr="003C5180">
        <w:t xml:space="preserve">there exists a possible </w:t>
      </w:r>
      <w:r w:rsidR="007D016C" w:rsidRPr="003C5180">
        <w:t>occurrence</w:t>
      </w:r>
      <w:r w:rsidR="005F120F" w:rsidRPr="003C5180">
        <w:t xml:space="preserve"> of a serious breach </w:t>
      </w:r>
    </w:p>
    <w:p w14:paraId="5599F192" w14:textId="77777777" w:rsidR="00F21585" w:rsidRPr="003C5180" w:rsidRDefault="004571CC" w:rsidP="008B45E8">
      <w:pPr>
        <w:pStyle w:val="Heading1"/>
        <w:numPr>
          <w:ilvl w:val="0"/>
          <w:numId w:val="42"/>
        </w:numPr>
        <w:rPr>
          <w:rFonts w:ascii="Calibri" w:hAnsi="Calibri"/>
          <w:szCs w:val="28"/>
        </w:rPr>
      </w:pPr>
      <w:bookmarkStart w:id="120" w:name="_Toc261532709"/>
      <w:bookmarkStart w:id="121" w:name="_Toc470102499"/>
      <w:r w:rsidRPr="003C5180">
        <w:rPr>
          <w:rFonts w:ascii="Calibri" w:hAnsi="Calibri"/>
          <w:szCs w:val="28"/>
        </w:rPr>
        <w:t>Data management and quality assurance</w:t>
      </w:r>
      <w:bookmarkEnd w:id="120"/>
      <w:bookmarkEnd w:id="121"/>
    </w:p>
    <w:p w14:paraId="0DD5584A" w14:textId="77777777" w:rsidR="004571CC" w:rsidRPr="003C5180" w:rsidRDefault="004571CC" w:rsidP="008B45E8">
      <w:pPr>
        <w:pStyle w:val="Heading2"/>
        <w:numPr>
          <w:ilvl w:val="1"/>
          <w:numId w:val="42"/>
        </w:numPr>
        <w:rPr>
          <w:rFonts w:cs="Tahoma"/>
          <w:sz w:val="24"/>
        </w:rPr>
      </w:pPr>
      <w:bookmarkStart w:id="122" w:name="_Toc261532710"/>
      <w:bookmarkStart w:id="123" w:name="_Toc470102500"/>
      <w:r w:rsidRPr="003C5180">
        <w:rPr>
          <w:rFonts w:cs="Tahoma"/>
          <w:sz w:val="24"/>
        </w:rPr>
        <w:t>Confidentiality</w:t>
      </w:r>
      <w:bookmarkEnd w:id="122"/>
      <w:bookmarkEnd w:id="123"/>
      <w:r w:rsidRPr="003C5180">
        <w:rPr>
          <w:rFonts w:cs="Tahoma"/>
          <w:sz w:val="24"/>
        </w:rPr>
        <w:t xml:space="preserve"> </w:t>
      </w:r>
    </w:p>
    <w:p w14:paraId="4CA8D816" w14:textId="77777777" w:rsidR="00F21585" w:rsidRPr="003C5180" w:rsidRDefault="00F21585" w:rsidP="00F21585">
      <w:pPr>
        <w:jc w:val="both"/>
      </w:pPr>
      <w:r w:rsidRPr="003C5180">
        <w:t>All data will be handled in accordance with the Data Protection Act 1998.</w:t>
      </w:r>
    </w:p>
    <w:p w14:paraId="0476AF98" w14:textId="77777777" w:rsidR="00CC4734" w:rsidRPr="003C5180" w:rsidRDefault="00175BAF" w:rsidP="00F21585">
      <w:pPr>
        <w:jc w:val="both"/>
      </w:pPr>
      <w:r>
        <w:t xml:space="preserve">Contact details will be collected onto </w:t>
      </w:r>
      <w:r w:rsidR="007201D9">
        <w:t>a data capture form</w:t>
      </w:r>
      <w:r>
        <w:t>at the local site. This will contain patient identifiable information which will allow the local team to remain in touch with participants during the study. Th</w:t>
      </w:r>
      <w:r w:rsidR="007201D9">
        <w:t>ese will not be sent from other sites</w:t>
      </w:r>
      <w:r w:rsidR="00464477">
        <w:t xml:space="preserve"> </w:t>
      </w:r>
      <w:r>
        <w:t xml:space="preserve">to </w:t>
      </w:r>
      <w:r w:rsidR="0064273A">
        <w:t>SGUL</w:t>
      </w:r>
      <w:r>
        <w:t xml:space="preserve">. All CRFs sent to </w:t>
      </w:r>
      <w:r w:rsidR="0064273A">
        <w:t>SGUL</w:t>
      </w:r>
      <w:r>
        <w:t xml:space="preserve"> will be identified by the participant’s trial identification number only. </w:t>
      </w:r>
    </w:p>
    <w:p w14:paraId="583B0766" w14:textId="77777777" w:rsidR="004571CC" w:rsidRPr="003C5180" w:rsidRDefault="004571CC" w:rsidP="008B45E8">
      <w:pPr>
        <w:pStyle w:val="Heading2"/>
        <w:numPr>
          <w:ilvl w:val="1"/>
          <w:numId w:val="42"/>
        </w:numPr>
        <w:ind w:left="540" w:hanging="540"/>
        <w:rPr>
          <w:rFonts w:cs="Tahoma"/>
          <w:sz w:val="24"/>
        </w:rPr>
      </w:pPr>
      <w:bookmarkStart w:id="124" w:name="_Toc470102501"/>
      <w:bookmarkStart w:id="125" w:name="_Toc261532711"/>
      <w:r w:rsidRPr="003C5180">
        <w:rPr>
          <w:rFonts w:cs="Tahoma"/>
          <w:sz w:val="24"/>
        </w:rPr>
        <w:t xml:space="preserve">Data </w:t>
      </w:r>
      <w:r w:rsidR="00A3337E" w:rsidRPr="003C5180">
        <w:rPr>
          <w:rFonts w:cs="Tahoma"/>
          <w:sz w:val="24"/>
        </w:rPr>
        <w:t>c</w:t>
      </w:r>
      <w:r w:rsidRPr="003C5180">
        <w:rPr>
          <w:rFonts w:cs="Tahoma"/>
          <w:sz w:val="24"/>
        </w:rPr>
        <w:t xml:space="preserve">ollection </w:t>
      </w:r>
      <w:r w:rsidR="00A3337E" w:rsidRPr="003C5180">
        <w:rPr>
          <w:rFonts w:cs="Tahoma"/>
          <w:sz w:val="24"/>
        </w:rPr>
        <w:t>t</w:t>
      </w:r>
      <w:r w:rsidRPr="003C5180">
        <w:rPr>
          <w:rFonts w:cs="Tahoma"/>
          <w:sz w:val="24"/>
        </w:rPr>
        <w:t>ool</w:t>
      </w:r>
      <w:bookmarkEnd w:id="124"/>
      <w:r w:rsidRPr="003C5180">
        <w:rPr>
          <w:rFonts w:cs="Tahoma"/>
          <w:sz w:val="24"/>
        </w:rPr>
        <w:t xml:space="preserve"> </w:t>
      </w:r>
      <w:bookmarkEnd w:id="125"/>
    </w:p>
    <w:p w14:paraId="6B97C232" w14:textId="77777777" w:rsidR="00F21585" w:rsidRPr="003C5180" w:rsidRDefault="00F21585" w:rsidP="00EA378C">
      <w:pPr>
        <w:jc w:val="both"/>
      </w:pPr>
      <w:r w:rsidRPr="003C5180">
        <w:t xml:space="preserve">Case </w:t>
      </w:r>
      <w:r w:rsidR="003727A9" w:rsidRPr="003C5180">
        <w:t>R</w:t>
      </w:r>
      <w:r w:rsidRPr="003C5180">
        <w:t xml:space="preserve">eport </w:t>
      </w:r>
      <w:r w:rsidR="003727A9" w:rsidRPr="003C5180">
        <w:t>F</w:t>
      </w:r>
      <w:r w:rsidRPr="003C5180">
        <w:t xml:space="preserve">orms will be designed by the </w:t>
      </w:r>
      <w:r w:rsidR="00EA378C" w:rsidRPr="003C5180">
        <w:t>CI and t</w:t>
      </w:r>
      <w:r w:rsidRPr="003C5180">
        <w:t>he final v</w:t>
      </w:r>
      <w:r w:rsidR="00EA378C" w:rsidRPr="003C5180">
        <w:t>ersion will be approved by the S</w:t>
      </w:r>
      <w:r w:rsidRPr="003C5180">
        <w:t xml:space="preserve">ponsor. All data will be entered legibly in black ink with a ball-point pen.  If </w:t>
      </w:r>
      <w:r w:rsidR="00EA378C" w:rsidRPr="003C5180">
        <w:t xml:space="preserve">the </w:t>
      </w:r>
      <w:r w:rsidR="003727A9" w:rsidRPr="003C5180">
        <w:t>I</w:t>
      </w:r>
      <w:r w:rsidR="00EA378C" w:rsidRPr="003C5180">
        <w:t xml:space="preserve">nvestigator makes </w:t>
      </w:r>
      <w:r w:rsidRPr="003C5180">
        <w:t>an error</w:t>
      </w:r>
      <w:r w:rsidR="00EA378C" w:rsidRPr="003C5180">
        <w:t>,</w:t>
      </w:r>
      <w:r w:rsidRPr="003C5180">
        <w:t xml:space="preserve"> </w:t>
      </w:r>
      <w:r w:rsidR="00EA378C" w:rsidRPr="003C5180">
        <w:t>it</w:t>
      </w:r>
      <w:r w:rsidRPr="003C5180">
        <w:t xml:space="preserve"> will be crossed through with a single line in such a way </w:t>
      </w:r>
      <w:r w:rsidR="00EA378C" w:rsidRPr="003C5180">
        <w:t xml:space="preserve">to ensure </w:t>
      </w:r>
      <w:r w:rsidRPr="003C5180">
        <w:t>that the ori</w:t>
      </w:r>
      <w:r w:rsidR="00EA378C" w:rsidRPr="003C5180">
        <w:t xml:space="preserve">ginal entry can still be read. </w:t>
      </w:r>
      <w:r w:rsidRPr="003C5180">
        <w:t>The correct entr</w:t>
      </w:r>
      <w:r w:rsidR="00EA378C" w:rsidRPr="003C5180">
        <w:t>y will then be clearly inserted.</w:t>
      </w:r>
      <w:r w:rsidRPr="003C5180">
        <w:t xml:space="preserve"> </w:t>
      </w:r>
      <w:r w:rsidR="00EA378C" w:rsidRPr="003C5180">
        <w:t>The</w:t>
      </w:r>
      <w:r w:rsidRPr="003C5180">
        <w:t xml:space="preserve"> a</w:t>
      </w:r>
      <w:r w:rsidR="00EA378C" w:rsidRPr="003C5180">
        <w:t>mendment</w:t>
      </w:r>
      <w:r w:rsidRPr="003C5180">
        <w:t xml:space="preserve"> will be initialled and dated by the person making the </w:t>
      </w:r>
      <w:r w:rsidR="00EA378C" w:rsidRPr="003C5180">
        <w:t xml:space="preserve">correction immediately. </w:t>
      </w:r>
      <w:r w:rsidRPr="003C5180">
        <w:t>Overwriting or use of correction fluid will not be permitted.</w:t>
      </w:r>
    </w:p>
    <w:p w14:paraId="3801F8D1" w14:textId="77777777" w:rsidR="0002675A" w:rsidRPr="003C5180" w:rsidRDefault="00D576D3" w:rsidP="00EA378C">
      <w:pPr>
        <w:jc w:val="both"/>
      </w:pPr>
      <w:r w:rsidRPr="003C5180">
        <w:t xml:space="preserve">It is the </w:t>
      </w:r>
      <w:r w:rsidR="003727A9" w:rsidRPr="003C5180">
        <w:t>I</w:t>
      </w:r>
      <w:r w:rsidRPr="003C5180">
        <w:t>nvestigator</w:t>
      </w:r>
      <w:r w:rsidR="003727A9" w:rsidRPr="003C5180">
        <w:t>’s</w:t>
      </w:r>
      <w:r w:rsidRPr="003C5180">
        <w:t xml:space="preserve"> responsibility to ensure the accuracy of all data entered</w:t>
      </w:r>
      <w:r w:rsidR="003727A9" w:rsidRPr="003C5180">
        <w:t xml:space="preserve"> and</w:t>
      </w:r>
      <w:r w:rsidRPr="003C5180">
        <w:t xml:space="preserve"> recorded in the CRFs. The </w:t>
      </w:r>
      <w:r w:rsidR="00484912" w:rsidRPr="003C5180">
        <w:t xml:space="preserve">Staff </w:t>
      </w:r>
      <w:r w:rsidRPr="003C5180">
        <w:t xml:space="preserve">Delegation of Responsibilities Log </w:t>
      </w:r>
      <w:r w:rsidR="00484912" w:rsidRPr="003C5180">
        <w:t xml:space="preserve">JREOLOG0004 </w:t>
      </w:r>
      <w:r w:rsidRPr="003C5180">
        <w:t>will identify all trial personnel responsible for data collection, entry, handling and managing the database.</w:t>
      </w:r>
    </w:p>
    <w:p w14:paraId="3EB33F1F" w14:textId="77777777" w:rsidR="00F21585" w:rsidRPr="003C5180" w:rsidRDefault="0002675A" w:rsidP="0002675A">
      <w:pPr>
        <w:jc w:val="both"/>
      </w:pPr>
      <w:r w:rsidRPr="003C5180">
        <w:t>Data will be recorded directly onto specially designed CRFs for the study.</w:t>
      </w:r>
      <w:r w:rsidR="00C35B05" w:rsidRPr="003C5180">
        <w:t xml:space="preserve"> CRFs will</w:t>
      </w:r>
      <w:r w:rsidR="0065794C">
        <w:t xml:space="preserve"> be</w:t>
      </w:r>
      <w:r w:rsidR="00C35B05" w:rsidRPr="003C5180">
        <w:t xml:space="preserve"> photocopied by individual sites and the</w:t>
      </w:r>
      <w:r w:rsidR="00483A92">
        <w:t xml:space="preserve"> photocopies</w:t>
      </w:r>
      <w:r w:rsidR="00C35B05" w:rsidRPr="003C5180">
        <w:t xml:space="preserve"> sent to </w:t>
      </w:r>
      <w:r w:rsidR="0064273A">
        <w:t>SGUL</w:t>
      </w:r>
      <w:r w:rsidR="00C35B05" w:rsidRPr="003C5180">
        <w:t xml:space="preserve"> for entering into the study database</w:t>
      </w:r>
      <w:r w:rsidR="00483A92">
        <w:t>. Originals will be kept by the individual sites.</w:t>
      </w:r>
    </w:p>
    <w:p w14:paraId="7D894FE4" w14:textId="77777777" w:rsidR="004571CC" w:rsidRPr="003C5180" w:rsidRDefault="004571CC" w:rsidP="008B45E8">
      <w:pPr>
        <w:pStyle w:val="Heading2"/>
        <w:numPr>
          <w:ilvl w:val="1"/>
          <w:numId w:val="42"/>
        </w:numPr>
        <w:ind w:left="540" w:hanging="540"/>
        <w:rPr>
          <w:rFonts w:cs="Tahoma"/>
          <w:sz w:val="24"/>
        </w:rPr>
      </w:pPr>
      <w:bookmarkStart w:id="126" w:name="_Toc261532712"/>
      <w:bookmarkStart w:id="127" w:name="_Toc470102502"/>
      <w:r w:rsidRPr="003C5180">
        <w:rPr>
          <w:rFonts w:cs="Tahoma"/>
          <w:sz w:val="24"/>
        </w:rPr>
        <w:t>Data handling and analysis</w:t>
      </w:r>
      <w:bookmarkEnd w:id="126"/>
      <w:bookmarkEnd w:id="127"/>
    </w:p>
    <w:p w14:paraId="17CAD08C" w14:textId="4F6C56C7" w:rsidR="00F314E4" w:rsidRPr="003C5180" w:rsidRDefault="00F314E4" w:rsidP="00332EDA">
      <w:pPr>
        <w:tabs>
          <w:tab w:val="left" w:pos="5670"/>
        </w:tabs>
        <w:jc w:val="both"/>
      </w:pPr>
      <w:r w:rsidRPr="003C5180">
        <w:t xml:space="preserve">A secure </w:t>
      </w:r>
      <w:r w:rsidR="00FB1E6B" w:rsidRPr="003C5180">
        <w:t>password</w:t>
      </w:r>
      <w:r w:rsidR="00FB1E6B">
        <w:t>-</w:t>
      </w:r>
      <w:r w:rsidRPr="003C5180">
        <w:t>protected database will be designed and set up</w:t>
      </w:r>
      <w:r w:rsidR="00277F6C">
        <w:t xml:space="preserve"> using REDCAP</w:t>
      </w:r>
      <w:r w:rsidR="00017A8C" w:rsidRPr="003C5180">
        <w:t xml:space="preserve"> </w:t>
      </w:r>
      <w:r w:rsidRPr="003C5180">
        <w:t xml:space="preserve">at </w:t>
      </w:r>
      <w:r w:rsidR="00385E4C">
        <w:t>SGUL</w:t>
      </w:r>
      <w:r w:rsidR="004B3705" w:rsidRPr="003C5180">
        <w:t xml:space="preserve">. </w:t>
      </w:r>
      <w:r w:rsidR="00467935">
        <w:t xml:space="preserve">Copies of </w:t>
      </w:r>
      <w:r w:rsidR="00AE4375">
        <w:t xml:space="preserve">CRFs will be transferred from sites to SGUL </w:t>
      </w:r>
      <w:r w:rsidR="000E120A">
        <w:t>by post or by email</w:t>
      </w:r>
      <w:r w:rsidR="00EB48D5">
        <w:t xml:space="preserve"> (BEARMenB@sgul.ac.uk)</w:t>
      </w:r>
      <w:r w:rsidR="000E120A">
        <w:t xml:space="preserve"> </w:t>
      </w:r>
      <w:r w:rsidR="00AE4375">
        <w:t xml:space="preserve">and identifiable patient information will not be transferred. </w:t>
      </w:r>
      <w:r w:rsidR="004B3705" w:rsidRPr="003C5180">
        <w:t xml:space="preserve">Data </w:t>
      </w:r>
      <w:r w:rsidR="00E51DCC" w:rsidRPr="003C5180">
        <w:t xml:space="preserve">from diary cards and CRFs </w:t>
      </w:r>
      <w:r w:rsidR="00332EDA">
        <w:t>will be entered</w:t>
      </w:r>
      <w:r w:rsidR="00AE4375">
        <w:t xml:space="preserve"> into the database</w:t>
      </w:r>
      <w:r w:rsidR="00332EDA">
        <w:t xml:space="preserve"> and checked by different members of the study team</w:t>
      </w:r>
      <w:r w:rsidR="00017A8C" w:rsidRPr="003C5180">
        <w:t>.</w:t>
      </w:r>
      <w:r w:rsidR="00E51DCC" w:rsidRPr="003C5180">
        <w:t xml:space="preserve">  </w:t>
      </w:r>
      <w:r w:rsidR="004B3705" w:rsidRPr="003C5180">
        <w:t xml:space="preserve">Any queries will be resolved and corrected in the database by referring to the original documentation. </w:t>
      </w:r>
      <w:r w:rsidR="007355AD">
        <w:t>Self-evident corrections will be amended by the team at SGUL without needing to contact the sites</w:t>
      </w:r>
      <w:r w:rsidR="00740EB3">
        <w:t>. I</w:t>
      </w:r>
      <w:r w:rsidR="00017A8C" w:rsidRPr="003C5180">
        <w:t xml:space="preserve">f the original documentation is unclear clarification will be sought from sites. </w:t>
      </w:r>
      <w:r w:rsidR="007355AD">
        <w:t xml:space="preserve">All </w:t>
      </w:r>
      <w:r w:rsidR="004B3705" w:rsidRPr="003C5180">
        <w:t>paperwork relating to the study will be stored in</w:t>
      </w:r>
      <w:r w:rsidR="00471918">
        <w:t xml:space="preserve"> </w:t>
      </w:r>
      <w:r w:rsidR="00032D21">
        <w:t xml:space="preserve">secure </w:t>
      </w:r>
      <w:r w:rsidR="004B3705" w:rsidRPr="003C5180">
        <w:t>locked cupboard</w:t>
      </w:r>
      <w:r w:rsidR="00471918">
        <w:t>s</w:t>
      </w:r>
      <w:r w:rsidR="00032D21">
        <w:t>/rooms</w:t>
      </w:r>
      <w:r w:rsidR="004B3705" w:rsidRPr="003C5180">
        <w:t xml:space="preserve"> in the </w:t>
      </w:r>
      <w:r w:rsidR="00471918">
        <w:t>sites participating in the study.</w:t>
      </w:r>
      <w:r w:rsidR="004B3705" w:rsidRPr="003C5180">
        <w:t xml:space="preserve"> </w:t>
      </w:r>
      <w:r w:rsidR="00483A92">
        <w:t xml:space="preserve">At individual sites </w:t>
      </w:r>
      <w:r w:rsidR="007201D9">
        <w:t>the CRFs will be contained within a plastic wallet in the patient files. N</w:t>
      </w:r>
      <w:r w:rsidR="00483A92">
        <w:t xml:space="preserve">o identifiable data will be transferred to SGUL. </w:t>
      </w:r>
      <w:r w:rsidR="004B3705" w:rsidRPr="003C5180">
        <w:t>Access to the trials database will be restricted to th</w:t>
      </w:r>
      <w:r w:rsidR="00C835D1" w:rsidRPr="003C5180">
        <w:t xml:space="preserve">e study team at </w:t>
      </w:r>
      <w:r w:rsidR="00385E4C">
        <w:t>SGUL</w:t>
      </w:r>
      <w:r w:rsidR="00A04B6F">
        <w:t xml:space="preserve"> and PIs from other sites if requested</w:t>
      </w:r>
      <w:r w:rsidR="004B3705" w:rsidRPr="003C5180">
        <w:t>. Data analysis will be performed by the Clinical Trials Statistician at PHE Colindale.  The Chief Investigator will have full access to the CRFs / diaries and trial database if required</w:t>
      </w:r>
      <w:r w:rsidR="00A04B6F">
        <w:t xml:space="preserve"> and PIs from other sites may access this information following a request to the CI</w:t>
      </w:r>
      <w:r w:rsidR="004B3705" w:rsidRPr="003C5180">
        <w:t xml:space="preserve">. Any digital data transferred from the sites to SGUL will be documented at source and be fully anonymised and encrypted prior to transfer in strict accordance with the 1998 Data Protection Act as well as SGUL Information Governance Policies. </w:t>
      </w:r>
    </w:p>
    <w:p w14:paraId="5AAF41EE" w14:textId="77777777" w:rsidR="00A52E7D" w:rsidRPr="003C5180" w:rsidRDefault="004571CC" w:rsidP="008B45E8">
      <w:pPr>
        <w:pStyle w:val="Heading1"/>
        <w:numPr>
          <w:ilvl w:val="0"/>
          <w:numId w:val="42"/>
        </w:numPr>
        <w:rPr>
          <w:rFonts w:ascii="Calibri" w:hAnsi="Calibri"/>
          <w:szCs w:val="28"/>
        </w:rPr>
      </w:pPr>
      <w:bookmarkStart w:id="128" w:name="_Toc261532713"/>
      <w:bookmarkStart w:id="129" w:name="_Toc470102503"/>
      <w:r w:rsidRPr="003C5180">
        <w:rPr>
          <w:rFonts w:ascii="Calibri" w:hAnsi="Calibri"/>
          <w:szCs w:val="28"/>
        </w:rPr>
        <w:t>Archiving arrangements</w:t>
      </w:r>
      <w:bookmarkEnd w:id="128"/>
      <w:bookmarkEnd w:id="129"/>
    </w:p>
    <w:p w14:paraId="108134B6" w14:textId="77777777" w:rsidR="00CC4734" w:rsidRDefault="00FB692B" w:rsidP="00A52E7D">
      <w:pPr>
        <w:jc w:val="both"/>
      </w:pPr>
      <w:r w:rsidRPr="003C5180">
        <w:t xml:space="preserve">The trial </w:t>
      </w:r>
      <w:r w:rsidR="00484912" w:rsidRPr="003C5180">
        <w:t xml:space="preserve">essential </w:t>
      </w:r>
      <w:r w:rsidRPr="003C5180">
        <w:t xml:space="preserve">documents </w:t>
      </w:r>
      <w:r w:rsidR="00A52E7D" w:rsidRPr="003C5180">
        <w:t>along with the trial database</w:t>
      </w:r>
      <w:r w:rsidRPr="003C5180">
        <w:t xml:space="preserve"> will be </w:t>
      </w:r>
      <w:r w:rsidR="00484912" w:rsidRPr="003C5180">
        <w:t xml:space="preserve">archived in accordance with the sponsor SOP JREOSOP0016. The agreed archiving period for this trial will be defined within the </w:t>
      </w:r>
      <w:r w:rsidR="00B73080" w:rsidRPr="003C5180">
        <w:t xml:space="preserve">Delegation of Duties Sponsorship Agreement JREODOC0013 </w:t>
      </w:r>
    </w:p>
    <w:p w14:paraId="47CFD726" w14:textId="77777777" w:rsidR="0016402B" w:rsidRDefault="004F1B5C" w:rsidP="00A52E7D">
      <w:pPr>
        <w:jc w:val="both"/>
      </w:pPr>
      <w:r w:rsidRPr="003C5180">
        <w:t xml:space="preserve">Each PI at any participating site will </w:t>
      </w:r>
      <w:r w:rsidR="00032D21">
        <w:t xml:space="preserve">make arrangements for </w:t>
      </w:r>
      <w:r w:rsidRPr="003C5180">
        <w:t>archiv</w:t>
      </w:r>
      <w:r w:rsidR="00032D21">
        <w:t>ing of</w:t>
      </w:r>
      <w:r w:rsidRPr="003C5180">
        <w:t xml:space="preserve"> the trial essential documents generated at the site for the agreed archiving period in accordance with the </w:t>
      </w:r>
      <w:r w:rsidR="00DB0C93" w:rsidRPr="003C5180">
        <w:t xml:space="preserve">signed Clinical Trial </w:t>
      </w:r>
      <w:r w:rsidRPr="003C5180">
        <w:t>Site agreement</w:t>
      </w:r>
    </w:p>
    <w:p w14:paraId="0B7DAD04" w14:textId="77777777" w:rsidR="002F77E5" w:rsidRPr="003C5180" w:rsidRDefault="002F77E5" w:rsidP="002F77E5">
      <w:pPr>
        <w:pStyle w:val="Heading1"/>
        <w:numPr>
          <w:ilvl w:val="0"/>
          <w:numId w:val="42"/>
        </w:numPr>
        <w:rPr>
          <w:rFonts w:ascii="Calibri" w:hAnsi="Calibri"/>
          <w:szCs w:val="28"/>
        </w:rPr>
      </w:pPr>
      <w:bookmarkStart w:id="130" w:name="_Toc261532714"/>
      <w:bookmarkStart w:id="131" w:name="_Toc470102504"/>
      <w:bookmarkStart w:id="132" w:name="_Toc261532730"/>
      <w:r w:rsidRPr="003C5180">
        <w:rPr>
          <w:rFonts w:ascii="Calibri" w:hAnsi="Calibri"/>
          <w:szCs w:val="28"/>
        </w:rPr>
        <w:t xml:space="preserve">Statistical </w:t>
      </w:r>
      <w:bookmarkEnd w:id="130"/>
      <w:r w:rsidRPr="003C5180">
        <w:rPr>
          <w:rFonts w:ascii="Calibri" w:hAnsi="Calibri"/>
          <w:szCs w:val="28"/>
        </w:rPr>
        <w:t>design</w:t>
      </w:r>
      <w:bookmarkEnd w:id="131"/>
    </w:p>
    <w:p w14:paraId="6F632E9E" w14:textId="77777777" w:rsidR="002F77E5" w:rsidRPr="003C5180" w:rsidRDefault="002F77E5" w:rsidP="002F77E5">
      <w:pPr>
        <w:pStyle w:val="Heading2"/>
        <w:numPr>
          <w:ilvl w:val="1"/>
          <w:numId w:val="42"/>
        </w:numPr>
        <w:rPr>
          <w:rFonts w:cs="Tahoma"/>
          <w:sz w:val="24"/>
          <w:lang w:eastAsia="en-GB"/>
        </w:rPr>
      </w:pPr>
      <w:bookmarkStart w:id="133" w:name="_Toc261532715"/>
      <w:bookmarkStart w:id="134" w:name="_Toc470102505"/>
      <w:r w:rsidRPr="003C5180">
        <w:rPr>
          <w:rFonts w:cs="Tahoma"/>
          <w:sz w:val="24"/>
          <w:lang w:eastAsia="en-GB"/>
        </w:rPr>
        <w:t>Statistical input in trial design</w:t>
      </w:r>
      <w:bookmarkEnd w:id="133"/>
      <w:bookmarkEnd w:id="134"/>
    </w:p>
    <w:p w14:paraId="4B005E21" w14:textId="77777777" w:rsidR="002F77E5" w:rsidRPr="003C5180" w:rsidRDefault="002F77E5" w:rsidP="002F77E5">
      <w:bookmarkStart w:id="135" w:name="_Toc250731326"/>
      <w:bookmarkStart w:id="136" w:name="_Toc261532716"/>
      <w:r w:rsidRPr="003C5180">
        <w:t xml:space="preserve">A formal statistical plan will be produced by the Trial Statistician prior to commencement of the study. Data will be analysed using a modified intention to treat analysis whereby all infants vaccinated and with at least one post vaccination blood sample taken will be included in the analysis. Per protocol analysis (whereby all vaccinated infants with at least one post vaccination blood sample taken and with no major protocol deviations) may also be performed if major protocol deviations are recorded. Infants with missing results (e.g. unable to obtain or insufficient blood sample) at the different time-points (e.g. post-primary immunisation, pre-booster and post-booster) will not be included in the analysis for that particular time-point). The primary objective of the study is to compare the hSBA GMT for </w:t>
      </w:r>
      <w:r w:rsidR="00B51670">
        <w:t>Bexsero®</w:t>
      </w:r>
      <w:r w:rsidRPr="003C5180">
        <w:t xml:space="preserve"> antigens fHbp, NadA and PorA </w:t>
      </w:r>
      <w:r w:rsidR="00FA1922">
        <w:t>1</w:t>
      </w:r>
      <w:r w:rsidR="00FA1922" w:rsidRPr="003C5180">
        <w:t xml:space="preserve"> </w:t>
      </w:r>
      <w:r w:rsidRPr="003C5180">
        <w:t xml:space="preserve">month after completing the primary vaccinations according to two different schedules. </w:t>
      </w:r>
    </w:p>
    <w:p w14:paraId="68280635" w14:textId="77777777" w:rsidR="002F77E5" w:rsidRDefault="002F77E5" w:rsidP="002F77E5">
      <w:pPr>
        <w:widowControl w:val="0"/>
        <w:autoSpaceDE w:val="0"/>
        <w:autoSpaceDN w:val="0"/>
        <w:adjustRightInd w:val="0"/>
        <w:spacing w:after="0" w:line="240" w:lineRule="auto"/>
        <w:contextualSpacing/>
        <w:jc w:val="both"/>
      </w:pPr>
    </w:p>
    <w:p w14:paraId="1AA8DBDA" w14:textId="77777777" w:rsidR="00342442" w:rsidRPr="003C5180" w:rsidRDefault="00342442" w:rsidP="002F77E5">
      <w:pPr>
        <w:widowControl w:val="0"/>
        <w:autoSpaceDE w:val="0"/>
        <w:autoSpaceDN w:val="0"/>
        <w:adjustRightInd w:val="0"/>
        <w:spacing w:after="0" w:line="240" w:lineRule="auto"/>
        <w:contextualSpacing/>
        <w:jc w:val="both"/>
      </w:pPr>
    </w:p>
    <w:p w14:paraId="62830082" w14:textId="77777777" w:rsidR="002F77E5" w:rsidRPr="003C5180" w:rsidRDefault="002F77E5" w:rsidP="002F77E5">
      <w:pPr>
        <w:pStyle w:val="Heading2"/>
        <w:numPr>
          <w:ilvl w:val="1"/>
          <w:numId w:val="42"/>
        </w:numPr>
        <w:rPr>
          <w:rFonts w:cs="Tahoma"/>
          <w:sz w:val="24"/>
          <w:lang w:eastAsia="en-GB"/>
        </w:rPr>
      </w:pPr>
      <w:bookmarkStart w:id="137" w:name="_Toc470102506"/>
      <w:r w:rsidRPr="003C5180">
        <w:rPr>
          <w:rFonts w:cs="Tahoma"/>
          <w:sz w:val="24"/>
          <w:lang w:eastAsia="en-GB"/>
        </w:rPr>
        <w:t>Endpoints</w:t>
      </w:r>
      <w:bookmarkEnd w:id="135"/>
      <w:bookmarkEnd w:id="136"/>
      <w:bookmarkEnd w:id="137"/>
    </w:p>
    <w:p w14:paraId="56B77296" w14:textId="77777777" w:rsidR="002F77E5" w:rsidRPr="003C5180" w:rsidRDefault="002F77E5" w:rsidP="002F77E5">
      <w:pPr>
        <w:pStyle w:val="Heading3"/>
        <w:numPr>
          <w:ilvl w:val="0"/>
          <w:numId w:val="0"/>
        </w:numPr>
        <w:ind w:left="284"/>
        <w:rPr>
          <w:rFonts w:cs="Tahoma"/>
          <w:i w:val="0"/>
          <w:sz w:val="24"/>
        </w:rPr>
      </w:pPr>
      <w:bookmarkStart w:id="138" w:name="_Toc250731327"/>
      <w:bookmarkStart w:id="139" w:name="_Toc261532717"/>
      <w:bookmarkStart w:id="140" w:name="_Toc470102507"/>
      <w:r w:rsidRPr="003C5180">
        <w:rPr>
          <w:rFonts w:cs="Tahoma"/>
          <w:b/>
          <w:i w:val="0"/>
          <w:sz w:val="22"/>
          <w:szCs w:val="22"/>
        </w:rPr>
        <w:t xml:space="preserve">16.2.1 </w:t>
      </w:r>
      <w:r w:rsidRPr="003C5180">
        <w:rPr>
          <w:rFonts w:cs="Tahoma"/>
          <w:b/>
          <w:i w:val="0"/>
          <w:sz w:val="22"/>
          <w:szCs w:val="22"/>
        </w:rPr>
        <w:tab/>
      </w:r>
      <w:r w:rsidRPr="003C5180">
        <w:rPr>
          <w:rFonts w:cs="Tahoma"/>
          <w:b/>
          <w:i w:val="0"/>
          <w:sz w:val="24"/>
        </w:rPr>
        <w:t>Primary endpoints</w:t>
      </w:r>
      <w:bookmarkEnd w:id="138"/>
      <w:bookmarkEnd w:id="139"/>
      <w:bookmarkEnd w:id="140"/>
    </w:p>
    <w:p w14:paraId="56B3CBE4" w14:textId="77777777" w:rsidR="002F77E5" w:rsidRPr="003C5180" w:rsidRDefault="002F77E5" w:rsidP="002F77E5">
      <w:pPr>
        <w:numPr>
          <w:ilvl w:val="0"/>
          <w:numId w:val="25"/>
        </w:numPr>
      </w:pPr>
      <w:r w:rsidRPr="003C5180">
        <w:t xml:space="preserve">hSBA GMT one month after completing primary immunisations for relevant </w:t>
      </w:r>
      <w:r w:rsidR="00B51670">
        <w:t>Bexsero®</w:t>
      </w:r>
      <w:r w:rsidRPr="003C5180">
        <w:t xml:space="preserve"> antigens: fHbp, NadA and PorA </w:t>
      </w:r>
    </w:p>
    <w:p w14:paraId="4AA1DD24" w14:textId="77777777" w:rsidR="002F77E5" w:rsidRPr="003C5180" w:rsidRDefault="002F77E5" w:rsidP="002F77E5">
      <w:pPr>
        <w:numPr>
          <w:ilvl w:val="0"/>
          <w:numId w:val="25"/>
        </w:numPr>
      </w:pPr>
      <w:r w:rsidRPr="003C5180">
        <w:t xml:space="preserve">hSBA proportions </w:t>
      </w:r>
      <w:r w:rsidR="00E824D7">
        <w:rPr>
          <w:lang w:eastAsia="en-GB"/>
        </w:rPr>
        <w:t>≥</w:t>
      </w:r>
      <w:r w:rsidRPr="003C5180">
        <w:t xml:space="preserve"> 1:4, one month after completing primary immunisations for relevant </w:t>
      </w:r>
      <w:r w:rsidR="00B51670">
        <w:t>Bexsero®</w:t>
      </w:r>
      <w:r w:rsidRPr="003C5180">
        <w:t xml:space="preserve"> antigens: fHbp, NadA and PorA.   </w:t>
      </w:r>
    </w:p>
    <w:p w14:paraId="3EAD9CD3" w14:textId="77777777" w:rsidR="002F77E5" w:rsidRPr="003C5180" w:rsidRDefault="002F77E5" w:rsidP="002F77E5">
      <w:pPr>
        <w:pStyle w:val="Heading3"/>
        <w:numPr>
          <w:ilvl w:val="0"/>
          <w:numId w:val="0"/>
        </w:numPr>
        <w:ind w:left="900" w:hanging="720"/>
        <w:rPr>
          <w:rFonts w:cs="Tahoma"/>
          <w:b/>
          <w:sz w:val="22"/>
          <w:szCs w:val="22"/>
        </w:rPr>
      </w:pPr>
      <w:bookmarkStart w:id="141" w:name="_Toc250731328"/>
      <w:bookmarkStart w:id="142" w:name="_Toc261532718"/>
      <w:r w:rsidRPr="003C5180">
        <w:rPr>
          <w:rFonts w:cs="Tahoma"/>
          <w:b/>
          <w:sz w:val="22"/>
          <w:szCs w:val="22"/>
        </w:rPr>
        <w:tab/>
      </w:r>
      <w:bookmarkEnd w:id="141"/>
      <w:bookmarkEnd w:id="142"/>
    </w:p>
    <w:p w14:paraId="25660FF7" w14:textId="77777777" w:rsidR="002F77E5" w:rsidRPr="003C5180" w:rsidRDefault="002F77E5" w:rsidP="002F77E5">
      <w:pPr>
        <w:pStyle w:val="Heading3"/>
        <w:numPr>
          <w:ilvl w:val="2"/>
          <w:numId w:val="43"/>
        </w:numPr>
        <w:rPr>
          <w:rFonts w:cs="Tahoma"/>
          <w:b/>
          <w:i w:val="0"/>
          <w:sz w:val="24"/>
        </w:rPr>
      </w:pPr>
      <w:bookmarkStart w:id="143" w:name="_Toc470102508"/>
      <w:r w:rsidRPr="003C5180">
        <w:rPr>
          <w:rFonts w:cs="Tahoma"/>
          <w:b/>
          <w:i w:val="0"/>
          <w:sz w:val="24"/>
        </w:rPr>
        <w:t>Secondary endpoints</w:t>
      </w:r>
      <w:bookmarkEnd w:id="143"/>
    </w:p>
    <w:p w14:paraId="577F2AE1" w14:textId="77777777" w:rsidR="002F77E5" w:rsidRPr="003C5180" w:rsidRDefault="002F77E5" w:rsidP="002F77E5">
      <w:pPr>
        <w:numPr>
          <w:ilvl w:val="3"/>
          <w:numId w:val="18"/>
        </w:numPr>
        <w:ind w:left="567"/>
      </w:pPr>
      <w:r w:rsidRPr="003C5180">
        <w:t>The percentage of infants experiencing fever, local reactions and non-febrile systemic reactions within the 7 days following each vaccine dose; </w:t>
      </w:r>
    </w:p>
    <w:p w14:paraId="449CE3C3" w14:textId="77777777" w:rsidR="002F77E5" w:rsidRPr="003C5180" w:rsidRDefault="002F77E5" w:rsidP="002F77E5">
      <w:pPr>
        <w:numPr>
          <w:ilvl w:val="3"/>
          <w:numId w:val="18"/>
        </w:numPr>
        <w:ind w:left="567"/>
      </w:pPr>
      <w:r w:rsidRPr="003C5180">
        <w:t>The percentage of inpatients experiencing change / deterioration in cardiorespiratory status within the 72 hours following each vaccine dose; </w:t>
      </w:r>
    </w:p>
    <w:p w14:paraId="51DA8A81" w14:textId="77777777" w:rsidR="002F77E5" w:rsidRDefault="002F77E5" w:rsidP="002F77E5">
      <w:pPr>
        <w:numPr>
          <w:ilvl w:val="0"/>
          <w:numId w:val="25"/>
        </w:numPr>
      </w:pPr>
      <w:r w:rsidRPr="003C5180">
        <w:t>The percentage of infants investigated for sepsis and commenced on antibiotics within 7 days of vaccination; </w:t>
      </w:r>
    </w:p>
    <w:p w14:paraId="48004876" w14:textId="77777777" w:rsidR="00A82901" w:rsidRDefault="00A82901" w:rsidP="002F77E5">
      <w:pPr>
        <w:numPr>
          <w:ilvl w:val="0"/>
          <w:numId w:val="25"/>
        </w:numPr>
      </w:pPr>
      <w:r>
        <w:t xml:space="preserve">The percentage of infants who experience fever and/or are investigated for </w:t>
      </w:r>
      <w:r w:rsidRPr="003C5180">
        <w:t>sepsis and commenced on antibiotics</w:t>
      </w:r>
      <w:r>
        <w:t xml:space="preserve"> within 28 days of vaccination;</w:t>
      </w:r>
    </w:p>
    <w:p w14:paraId="4DE8A94A" w14:textId="77777777" w:rsidR="00A82901" w:rsidRPr="003C5180" w:rsidRDefault="00A82901" w:rsidP="002F77E5">
      <w:pPr>
        <w:numPr>
          <w:ilvl w:val="0"/>
          <w:numId w:val="25"/>
        </w:numPr>
      </w:pPr>
      <w:r>
        <w:t>The percentage of infants who experience a serious adverse event at any point within the study;</w:t>
      </w:r>
    </w:p>
    <w:p w14:paraId="71B34E3A" w14:textId="77777777" w:rsidR="002F77E5" w:rsidRPr="003C5180" w:rsidRDefault="002F77E5" w:rsidP="002F77E5">
      <w:pPr>
        <w:numPr>
          <w:ilvl w:val="0"/>
          <w:numId w:val="25"/>
        </w:numPr>
      </w:pPr>
      <w:r w:rsidRPr="003C5180">
        <w:t xml:space="preserve">hSBA GMTs at 12 months of age (pre booster) for relevant </w:t>
      </w:r>
      <w:r w:rsidR="00B51670">
        <w:t>Bexsero®</w:t>
      </w:r>
      <w:r w:rsidRPr="003C5180">
        <w:t xml:space="preserve"> antigens: fHbp, NadA and PorA;  </w:t>
      </w:r>
    </w:p>
    <w:p w14:paraId="06CCF8D1" w14:textId="77777777" w:rsidR="002F77E5" w:rsidRPr="003C5180" w:rsidRDefault="002F77E5" w:rsidP="002F77E5">
      <w:pPr>
        <w:numPr>
          <w:ilvl w:val="0"/>
          <w:numId w:val="25"/>
        </w:numPr>
      </w:pPr>
      <w:r w:rsidRPr="003C5180">
        <w:t xml:space="preserve">hSBA proportions </w:t>
      </w:r>
      <w:r w:rsidR="00E824D7">
        <w:rPr>
          <w:lang w:eastAsia="en-GB"/>
        </w:rPr>
        <w:t>≥</w:t>
      </w:r>
      <w:r w:rsidRPr="003C5180">
        <w:t xml:space="preserve">1:4, at 12 months of age (pre booster) for relevant </w:t>
      </w:r>
      <w:r w:rsidR="00B51670">
        <w:t>Bexsero®</w:t>
      </w:r>
      <w:r w:rsidRPr="003C5180">
        <w:t xml:space="preserve"> antigens: fHbp, NadA and PorA; </w:t>
      </w:r>
    </w:p>
    <w:p w14:paraId="00721337" w14:textId="77777777" w:rsidR="002F77E5" w:rsidRPr="003C5180" w:rsidRDefault="002F77E5" w:rsidP="002F77E5">
      <w:pPr>
        <w:numPr>
          <w:ilvl w:val="0"/>
          <w:numId w:val="25"/>
        </w:numPr>
      </w:pPr>
      <w:r w:rsidRPr="003C5180">
        <w:t xml:space="preserve">hSBA GMTs at 13 months of age (post booster) for relevant </w:t>
      </w:r>
      <w:r w:rsidR="00B51670">
        <w:t>Bexsero®</w:t>
      </w:r>
      <w:r w:rsidRPr="003C5180">
        <w:t xml:space="preserve"> antigens: fHbp, NadA and PorA;  </w:t>
      </w:r>
    </w:p>
    <w:p w14:paraId="3357DBAE" w14:textId="77777777" w:rsidR="002F77E5" w:rsidRPr="003C5180" w:rsidRDefault="002F77E5" w:rsidP="002F77E5">
      <w:pPr>
        <w:numPr>
          <w:ilvl w:val="0"/>
          <w:numId w:val="25"/>
        </w:numPr>
      </w:pPr>
      <w:r w:rsidRPr="003C5180">
        <w:t xml:space="preserve">hSBA proportions </w:t>
      </w:r>
      <w:r w:rsidR="00E824D7">
        <w:rPr>
          <w:lang w:eastAsia="en-GB"/>
        </w:rPr>
        <w:t>≥</w:t>
      </w:r>
      <w:r w:rsidRPr="003C5180">
        <w:t xml:space="preserve">1:4, at 13 months of age (post booster) for relevant </w:t>
      </w:r>
      <w:r w:rsidR="00B51670">
        <w:t>Bexsero®</w:t>
      </w:r>
      <w:r w:rsidRPr="003C5180">
        <w:t xml:space="preserve"> antigens: fHbp, NadA and PorA.</w:t>
      </w:r>
    </w:p>
    <w:p w14:paraId="4C936C9E" w14:textId="77777777" w:rsidR="002F77E5" w:rsidRPr="003C5180" w:rsidRDefault="002F77E5" w:rsidP="002F77E5">
      <w:pPr>
        <w:pStyle w:val="Heading2"/>
        <w:numPr>
          <w:ilvl w:val="1"/>
          <w:numId w:val="43"/>
        </w:numPr>
        <w:rPr>
          <w:rFonts w:cs="Tahoma"/>
          <w:sz w:val="24"/>
        </w:rPr>
      </w:pPr>
      <w:bookmarkStart w:id="144" w:name="_Toc250731329"/>
      <w:bookmarkStart w:id="145" w:name="_Toc261532719"/>
      <w:bookmarkStart w:id="146" w:name="_Toc470102509"/>
      <w:r w:rsidRPr="003C5180">
        <w:rPr>
          <w:rFonts w:cs="Tahoma"/>
          <w:sz w:val="24"/>
        </w:rPr>
        <w:t>Sample size and recruitment</w:t>
      </w:r>
      <w:bookmarkEnd w:id="144"/>
      <w:bookmarkEnd w:id="145"/>
      <w:bookmarkEnd w:id="146"/>
    </w:p>
    <w:p w14:paraId="4EBAB689" w14:textId="77777777" w:rsidR="002F77E5" w:rsidRPr="00342442" w:rsidRDefault="002F77E5" w:rsidP="002F77E5">
      <w:pPr>
        <w:pStyle w:val="Heading3"/>
        <w:numPr>
          <w:ilvl w:val="0"/>
          <w:numId w:val="0"/>
        </w:numPr>
        <w:tabs>
          <w:tab w:val="clear" w:pos="567"/>
        </w:tabs>
        <w:ind w:left="426"/>
        <w:rPr>
          <w:rFonts w:cs="Tahoma"/>
          <w:b/>
          <w:sz w:val="24"/>
          <w:lang w:eastAsia="en-GB"/>
        </w:rPr>
      </w:pPr>
      <w:bookmarkStart w:id="147" w:name="_Toc261532720"/>
      <w:bookmarkStart w:id="148" w:name="_Toc470102510"/>
      <w:bookmarkStart w:id="149" w:name="_Toc250731332"/>
      <w:r w:rsidRPr="00EB48D5">
        <w:rPr>
          <w:rFonts w:cs="Tahoma"/>
          <w:b/>
          <w:i w:val="0"/>
          <w:sz w:val="22"/>
          <w:szCs w:val="22"/>
          <w:lang w:eastAsia="en-GB"/>
        </w:rPr>
        <w:t xml:space="preserve">16.3.1 </w:t>
      </w:r>
      <w:r w:rsidRPr="00342442">
        <w:rPr>
          <w:rFonts w:cs="Tahoma"/>
          <w:b/>
          <w:i w:val="0"/>
          <w:sz w:val="24"/>
          <w:lang w:eastAsia="en-GB"/>
        </w:rPr>
        <w:t>Sample size calculation</w:t>
      </w:r>
      <w:bookmarkEnd w:id="147"/>
      <w:bookmarkEnd w:id="148"/>
    </w:p>
    <w:p w14:paraId="6BF992B7" w14:textId="77777777" w:rsidR="002F77E5" w:rsidRPr="003C5180" w:rsidRDefault="002F77E5" w:rsidP="002F77E5">
      <w:pPr>
        <w:widowControl w:val="0"/>
        <w:tabs>
          <w:tab w:val="num" w:pos="426"/>
        </w:tabs>
        <w:contextualSpacing/>
      </w:pPr>
      <w:r w:rsidRPr="003C5180">
        <w:t xml:space="preserve">Sample size calculations are complicated because of the multiple components in </w:t>
      </w:r>
      <w:r w:rsidR="00B51670">
        <w:t>Bexsero®</w:t>
      </w:r>
      <w:r w:rsidRPr="003C5180">
        <w:t xml:space="preserve">. We will assess the immune responses to 3 antigens. We propose that a comparison of 2 schedules with respect to doses of </w:t>
      </w:r>
      <w:r w:rsidR="00B51670">
        <w:t>Bexsero®</w:t>
      </w:r>
      <w:r w:rsidRPr="003C5180">
        <w:t xml:space="preserve"> will require 60 infants in each arm. Based on data from a recent study (Gossger et al. 2012) the standard deviation of the GMT responses to the 3 antigens is expected to be around 1.0 log</w:t>
      </w:r>
      <w:r w:rsidRPr="00277F6C">
        <w:rPr>
          <w:vertAlign w:val="subscript"/>
        </w:rPr>
        <w:t>e</w:t>
      </w:r>
      <w:r w:rsidRPr="003C5180">
        <w:t xml:space="preserve"> units. Therefore, a sample size of 60 per group will allow a 1.7 fold difference between groups to be detectable at 80% power with 5% significance. Based on our experience from the PUNS </w:t>
      </w:r>
      <w:r w:rsidR="001C5CF7">
        <w:t xml:space="preserve">(Prems Under a New Schedule) </w:t>
      </w:r>
      <w:r w:rsidRPr="003C5180">
        <w:t>study, we expect a drop-out rate of around 10% so aim to recruit a total of 132 infants</w:t>
      </w:r>
      <w:r w:rsidR="007355AD">
        <w:t>.</w:t>
      </w:r>
    </w:p>
    <w:p w14:paraId="607E545D" w14:textId="77777777" w:rsidR="002F77E5" w:rsidRPr="003C5180" w:rsidRDefault="002F77E5" w:rsidP="002F77E5">
      <w:pPr>
        <w:pStyle w:val="Heading3"/>
        <w:numPr>
          <w:ilvl w:val="0"/>
          <w:numId w:val="0"/>
        </w:numPr>
        <w:tabs>
          <w:tab w:val="clear" w:pos="567"/>
          <w:tab w:val="left" w:pos="426"/>
        </w:tabs>
        <w:ind w:left="900" w:hanging="720"/>
        <w:rPr>
          <w:rFonts w:cs="Tahoma"/>
          <w:i w:val="0"/>
          <w:sz w:val="24"/>
          <w:lang w:eastAsia="en-GB"/>
        </w:rPr>
      </w:pPr>
      <w:bookmarkStart w:id="150" w:name="_Toc261532721"/>
      <w:r w:rsidRPr="003C5180">
        <w:rPr>
          <w:rFonts w:cs="Tahoma"/>
          <w:b/>
          <w:sz w:val="22"/>
          <w:szCs w:val="22"/>
          <w:lang w:eastAsia="en-GB"/>
        </w:rPr>
        <w:tab/>
      </w:r>
      <w:bookmarkStart w:id="151" w:name="_Toc470102511"/>
      <w:r w:rsidRPr="003C5180">
        <w:rPr>
          <w:rFonts w:cs="Tahoma"/>
          <w:b/>
          <w:i w:val="0"/>
          <w:sz w:val="22"/>
          <w:szCs w:val="22"/>
          <w:lang w:eastAsia="en-GB"/>
        </w:rPr>
        <w:t xml:space="preserve">16.3.2 </w:t>
      </w:r>
      <w:r w:rsidRPr="00342442">
        <w:rPr>
          <w:rFonts w:cs="Tahoma"/>
          <w:b/>
          <w:i w:val="0"/>
          <w:sz w:val="24"/>
          <w:lang w:eastAsia="en-GB"/>
        </w:rPr>
        <w:t>Planned recruitment rate</w:t>
      </w:r>
      <w:bookmarkEnd w:id="150"/>
      <w:bookmarkEnd w:id="151"/>
    </w:p>
    <w:p w14:paraId="6977648D" w14:textId="77777777" w:rsidR="002F77E5" w:rsidRPr="003C5180" w:rsidRDefault="002F77E5" w:rsidP="002F77E5">
      <w:bookmarkStart w:id="152" w:name="_Toc261532722"/>
      <w:r w:rsidRPr="003C5180">
        <w:t>It is hoped recruitment to the study will be completed in a 6-12 month time frame. However, as with all paediatric studies, the recruitment rate depends on parental attitude and is largely unpredictable.</w:t>
      </w:r>
      <w:bookmarkEnd w:id="149"/>
      <w:bookmarkEnd w:id="152"/>
    </w:p>
    <w:p w14:paraId="24595D3A" w14:textId="77777777" w:rsidR="002F77E5" w:rsidRPr="003C5180" w:rsidRDefault="002F77E5" w:rsidP="002F77E5">
      <w:pPr>
        <w:pStyle w:val="Heading2"/>
        <w:numPr>
          <w:ilvl w:val="1"/>
          <w:numId w:val="43"/>
        </w:numPr>
        <w:rPr>
          <w:rFonts w:cs="Tahoma"/>
          <w:sz w:val="24"/>
        </w:rPr>
      </w:pPr>
      <w:bookmarkStart w:id="153" w:name="_Toc250731333"/>
      <w:bookmarkStart w:id="154" w:name="_Toc261532723"/>
      <w:bookmarkStart w:id="155" w:name="_Toc470102512"/>
      <w:r w:rsidRPr="003C5180">
        <w:rPr>
          <w:rFonts w:cs="Tahoma"/>
          <w:sz w:val="24"/>
        </w:rPr>
        <w:t>Summary of baseline data and flow of patients</w:t>
      </w:r>
      <w:bookmarkEnd w:id="153"/>
      <w:bookmarkEnd w:id="154"/>
      <w:bookmarkEnd w:id="155"/>
    </w:p>
    <w:p w14:paraId="0A4A7769" w14:textId="323858B5" w:rsidR="003A6F5A" w:rsidRPr="003C5180" w:rsidRDefault="002F77E5" w:rsidP="002F77E5">
      <w:pPr>
        <w:widowControl w:val="0"/>
        <w:contextualSpacing/>
      </w:pPr>
      <w:r w:rsidRPr="003C5180">
        <w:t xml:space="preserve">At the end of the study, a flowchart will be used to summarise the number of infants approached, consented, recruited, assigned to the different study arms, receiving the intended vaccines, completing the study protocol and analysed for the primary outcome, as recommended by the CONSORT statement (http://www.consort-statement.org/). Baseline data comparing the </w:t>
      </w:r>
      <w:r w:rsidR="00A16617">
        <w:t>two</w:t>
      </w:r>
      <w:r w:rsidR="00A16617" w:rsidRPr="003C5180">
        <w:t xml:space="preserve"> </w:t>
      </w:r>
      <w:r w:rsidRPr="003C5180">
        <w:t xml:space="preserve">trial arms will be summarised in a table format and will compare median gestation age at birth, age at first vaccination, gender, recruiting study site, birth weight, underlying medical conditions, ventilation status, oxygen requirement, and receipt of immunoglobulins, blood transfusions, steroids, </w:t>
      </w:r>
      <w:r w:rsidR="00A16617">
        <w:t xml:space="preserve">and </w:t>
      </w:r>
      <w:r w:rsidRPr="003C5180">
        <w:t xml:space="preserve">other </w:t>
      </w:r>
      <w:r w:rsidR="00A16617">
        <w:t xml:space="preserve">relevant </w:t>
      </w:r>
      <w:r w:rsidRPr="003C5180">
        <w:t xml:space="preserve">concomitant medications or vaccines. </w:t>
      </w:r>
    </w:p>
    <w:p w14:paraId="063E9DC7" w14:textId="77777777" w:rsidR="002F77E5" w:rsidRPr="003C5180" w:rsidRDefault="00CC4734" w:rsidP="00BD1825">
      <w:pPr>
        <w:pStyle w:val="Heading3"/>
        <w:numPr>
          <w:ilvl w:val="0"/>
          <w:numId w:val="0"/>
        </w:numPr>
        <w:ind w:left="1854" w:hanging="1428"/>
        <w:rPr>
          <w:rFonts w:cs="Tahoma"/>
          <w:sz w:val="24"/>
        </w:rPr>
      </w:pPr>
      <w:bookmarkStart w:id="156" w:name="_Toc470102513"/>
      <w:r>
        <w:rPr>
          <w:rFonts w:cs="Arial"/>
          <w:sz w:val="22"/>
          <w:szCs w:val="22"/>
        </w:rPr>
        <w:t>16.4.1</w:t>
      </w:r>
      <w:bookmarkEnd w:id="156"/>
      <w:r>
        <w:rPr>
          <w:rFonts w:cs="Arial"/>
          <w:sz w:val="22"/>
          <w:szCs w:val="22"/>
        </w:rPr>
        <w:t xml:space="preserve"> </w:t>
      </w:r>
      <w:bookmarkStart w:id="157" w:name="_Toc250731334"/>
      <w:bookmarkStart w:id="158" w:name="_Toc261532724"/>
      <w:r w:rsidR="002F77E5" w:rsidRPr="003C5180">
        <w:rPr>
          <w:rFonts w:cs="Tahoma"/>
          <w:b/>
          <w:sz w:val="22"/>
          <w:szCs w:val="22"/>
        </w:rPr>
        <w:tab/>
      </w:r>
      <w:bookmarkStart w:id="159" w:name="_Toc470102514"/>
      <w:r w:rsidR="002F77E5" w:rsidRPr="003C5180">
        <w:rPr>
          <w:rFonts w:cs="Tahoma"/>
          <w:sz w:val="24"/>
        </w:rPr>
        <w:t>Primary endpoint analysis</w:t>
      </w:r>
      <w:bookmarkEnd w:id="157"/>
      <w:bookmarkEnd w:id="158"/>
      <w:bookmarkEnd w:id="159"/>
    </w:p>
    <w:p w14:paraId="2B377D3D" w14:textId="77777777" w:rsidR="002F77E5" w:rsidRDefault="002F77E5" w:rsidP="002F77E5">
      <w:pPr>
        <w:jc w:val="both"/>
      </w:pPr>
      <w:r>
        <w:rPr>
          <w:rFonts w:cs="Tahoma"/>
          <w:sz w:val="22"/>
          <w:szCs w:val="22"/>
        </w:rPr>
        <w:t xml:space="preserve">For each schedule </w:t>
      </w:r>
      <w:r w:rsidR="00A16617">
        <w:rPr>
          <w:rFonts w:cs="Tahoma"/>
          <w:sz w:val="22"/>
          <w:szCs w:val="22"/>
        </w:rPr>
        <w:t xml:space="preserve">geometric </w:t>
      </w:r>
      <w:r>
        <w:rPr>
          <w:rFonts w:cs="Tahoma"/>
          <w:sz w:val="22"/>
          <w:szCs w:val="22"/>
        </w:rPr>
        <w:t xml:space="preserve">mean titres (GMTs) of the </w:t>
      </w:r>
      <w:r w:rsidRPr="005B1742">
        <w:rPr>
          <w:rFonts w:cs="Tahoma"/>
          <w:sz w:val="22"/>
          <w:szCs w:val="22"/>
        </w:rPr>
        <w:t xml:space="preserve">hSBA titres to the three antigens </w:t>
      </w:r>
      <w:r>
        <w:rPr>
          <w:rFonts w:cs="Tahoma"/>
          <w:sz w:val="22"/>
          <w:szCs w:val="22"/>
        </w:rPr>
        <w:t>(</w:t>
      </w:r>
      <w:r w:rsidRPr="005B1742">
        <w:t>fHbp, NadA and PorA</w:t>
      </w:r>
      <w:r>
        <w:t xml:space="preserve">) will be calculated with 95% confidence intervals </w:t>
      </w:r>
      <w:r w:rsidR="00A16617">
        <w:t xml:space="preserve">1 </w:t>
      </w:r>
      <w:r>
        <w:t>month post primary vaccination</w:t>
      </w:r>
      <w:r w:rsidR="00332EDA">
        <w:t>.</w:t>
      </w:r>
      <w:r>
        <w:t xml:space="preserve"> Schedules will be compared using unpaired t-tests on log</w:t>
      </w:r>
      <w:r w:rsidR="00A16617">
        <w:t>-</w:t>
      </w:r>
      <w:r>
        <w:t xml:space="preserve">transformed titres or the Kruskal Wallis test if log-titres are not normally distributed. Proportions with titres </w:t>
      </w:r>
      <w:r w:rsidR="00E824D7">
        <w:rPr>
          <w:lang w:eastAsia="en-GB"/>
        </w:rPr>
        <w:t>≥</w:t>
      </w:r>
      <w:r>
        <w:t xml:space="preserve">1:4 will also be calculated with exact binomial 95% confidence intervals and compared between groups by Fisher’s exact test. Significance will be at a 5% level with no adjustment for multiple comparisons since whilst there are three antigens there are only </w:t>
      </w:r>
      <w:r w:rsidR="00A16617">
        <w:t xml:space="preserve">two </w:t>
      </w:r>
      <w:r>
        <w:t>groups being compared.</w:t>
      </w:r>
    </w:p>
    <w:p w14:paraId="0ACC4B81" w14:textId="77777777" w:rsidR="002F77E5" w:rsidRDefault="002F77E5" w:rsidP="002F77E5">
      <w:pPr>
        <w:jc w:val="both"/>
      </w:pPr>
      <w:r>
        <w:t>Analysis will be by modified intention to treat (mITT), meaning individuals are analysed according to the group they are randomised to, but only those with a</w:t>
      </w:r>
      <w:r w:rsidR="00A16617">
        <w:t>t least one</w:t>
      </w:r>
      <w:r>
        <w:t xml:space="preserve"> blood taken and antibody result will be included, with missing data (e.g. from withdrawals, non-compliers) assumed missing at random. The mITT analysis will include blood samples taken outside the recommended timing. A per-protocol analysis will also be performed if there are major protocol deviations. Spurious data will be checked to source records and investigated, but included if no cause is identified.</w:t>
      </w:r>
    </w:p>
    <w:p w14:paraId="5A794C22" w14:textId="77777777" w:rsidR="002F77E5" w:rsidRDefault="002F77E5" w:rsidP="002F77E5">
      <w:pPr>
        <w:jc w:val="both"/>
      </w:pPr>
      <w:r>
        <w:t>The main subgroup analysis will be stratification by level of prematurity (&lt;30weeks/ 30</w:t>
      </w:r>
      <w:r w:rsidR="00A16617" w:rsidRPr="00277F6C">
        <w:rPr>
          <w:vertAlign w:val="superscript"/>
        </w:rPr>
        <w:t>+0</w:t>
      </w:r>
      <w:r>
        <w:t>-3</w:t>
      </w:r>
      <w:r w:rsidR="007355AD">
        <w:t>4</w:t>
      </w:r>
      <w:r w:rsidR="007355AD" w:rsidRPr="00277F6C">
        <w:rPr>
          <w:vertAlign w:val="superscript"/>
        </w:rPr>
        <w:t>+6</w:t>
      </w:r>
      <w:r>
        <w:t xml:space="preserve"> weeks). A multivariable normal errors regression on logged titres will be used to investigate the influence of prematurity</w:t>
      </w:r>
      <w:r w:rsidR="004F51E2">
        <w:t xml:space="preserve">, receipt of blood products or steroids, gestational age, gender, and birthweight. </w:t>
      </w:r>
    </w:p>
    <w:p w14:paraId="7A6A9DFF" w14:textId="77777777" w:rsidR="002F77E5" w:rsidRPr="003C5180" w:rsidRDefault="00CC4734" w:rsidP="002F77E5">
      <w:pPr>
        <w:pStyle w:val="Heading3"/>
        <w:numPr>
          <w:ilvl w:val="0"/>
          <w:numId w:val="0"/>
        </w:numPr>
        <w:ind w:left="142" w:hanging="142"/>
        <w:rPr>
          <w:rFonts w:cs="Tahoma"/>
          <w:sz w:val="24"/>
        </w:rPr>
      </w:pPr>
      <w:bookmarkStart w:id="160" w:name="_Toc250731335"/>
      <w:bookmarkStart w:id="161" w:name="_Toc261532725"/>
      <w:bookmarkStart w:id="162" w:name="_Toc470102515"/>
      <w:r>
        <w:rPr>
          <w:rFonts w:cs="Tahoma"/>
          <w:sz w:val="22"/>
          <w:szCs w:val="22"/>
        </w:rPr>
        <w:t xml:space="preserve">16.4.2    </w:t>
      </w:r>
      <w:r w:rsidR="002F77E5" w:rsidRPr="003C5180">
        <w:rPr>
          <w:rFonts w:cs="Tahoma"/>
          <w:sz w:val="22"/>
          <w:szCs w:val="22"/>
        </w:rPr>
        <w:tab/>
      </w:r>
      <w:r w:rsidR="002F77E5" w:rsidRPr="003C5180">
        <w:rPr>
          <w:rFonts w:cs="Tahoma"/>
          <w:sz w:val="24"/>
        </w:rPr>
        <w:t>Secondary endpoint analysis</w:t>
      </w:r>
      <w:bookmarkEnd w:id="160"/>
      <w:bookmarkEnd w:id="161"/>
      <w:bookmarkEnd w:id="162"/>
    </w:p>
    <w:p w14:paraId="673C442F" w14:textId="77777777" w:rsidR="002F77E5" w:rsidRDefault="002F77E5" w:rsidP="002F77E5">
      <w:pPr>
        <w:pStyle w:val="Heading3"/>
        <w:numPr>
          <w:ilvl w:val="0"/>
          <w:numId w:val="0"/>
        </w:numPr>
        <w:rPr>
          <w:rFonts w:cs="Tahoma"/>
          <w:sz w:val="22"/>
          <w:szCs w:val="22"/>
        </w:rPr>
      </w:pPr>
      <w:bookmarkStart w:id="163" w:name="_Toc470102516"/>
      <w:bookmarkStart w:id="164" w:name="_Toc250731336"/>
      <w:bookmarkStart w:id="165" w:name="_Toc261532726"/>
      <w:r>
        <w:rPr>
          <w:rFonts w:cs="Tahoma"/>
          <w:i w:val="0"/>
          <w:sz w:val="22"/>
          <w:szCs w:val="22"/>
        </w:rPr>
        <w:t>Analysis of titres before and after the booster vaccination will be done in the same way as the analysis after primary vaccination. In addition</w:t>
      </w:r>
      <w:r w:rsidR="00A67E01">
        <w:rPr>
          <w:rFonts w:cs="Tahoma"/>
          <w:i w:val="0"/>
          <w:sz w:val="22"/>
          <w:szCs w:val="22"/>
        </w:rPr>
        <w:t>,</w:t>
      </w:r>
      <w:r>
        <w:rPr>
          <w:rFonts w:cs="Tahoma"/>
          <w:i w:val="0"/>
          <w:sz w:val="22"/>
          <w:szCs w:val="22"/>
        </w:rPr>
        <w:t xml:space="preserve"> the geometric mean fold change between time points will be calculated with 95% confidence intervals.</w:t>
      </w:r>
      <w:bookmarkEnd w:id="163"/>
    </w:p>
    <w:p w14:paraId="0E10A55B" w14:textId="77777777" w:rsidR="002F77E5" w:rsidRPr="00291650" w:rsidRDefault="002F77E5" w:rsidP="002F77E5">
      <w:r>
        <w:t xml:space="preserve">For the safety end-points analysis will be As Treated (according to vaccine received) with proportions </w:t>
      </w:r>
      <w:r w:rsidR="00A67E01">
        <w:t xml:space="preserve">having </w:t>
      </w:r>
      <w:r>
        <w:t xml:space="preserve">each safety endpoint calculated with 95% exact confidence intervals. These proportions will be calculated combining across the two schedules except for when MenB is not given to group 1. Proportions will be according to the most severe level of the adverse event reached across the </w:t>
      </w:r>
      <w:r w:rsidR="00ED7E94">
        <w:t xml:space="preserve">72-hour, </w:t>
      </w:r>
      <w:r>
        <w:t>7</w:t>
      </w:r>
      <w:r w:rsidR="00A67E01">
        <w:t>-</w:t>
      </w:r>
      <w:r>
        <w:t>day</w:t>
      </w:r>
      <w:r w:rsidR="00ED7E94">
        <w:t xml:space="preserve"> or 28 day</w:t>
      </w:r>
      <w:r>
        <w:t xml:space="preserve">  follow up after each dose and will be by levels of any and severe as indicated on the diary card.</w:t>
      </w:r>
    </w:p>
    <w:p w14:paraId="2FA44536" w14:textId="77777777" w:rsidR="002F77E5" w:rsidRPr="003C5180" w:rsidRDefault="002F77E5" w:rsidP="00BD1825">
      <w:pPr>
        <w:pStyle w:val="Heading3"/>
        <w:numPr>
          <w:ilvl w:val="0"/>
          <w:numId w:val="0"/>
        </w:numPr>
        <w:rPr>
          <w:rFonts w:cs="Tahoma"/>
          <w:sz w:val="24"/>
        </w:rPr>
      </w:pPr>
      <w:r w:rsidRPr="003C5180">
        <w:rPr>
          <w:rFonts w:cs="Tahoma"/>
          <w:sz w:val="22"/>
          <w:szCs w:val="22"/>
        </w:rPr>
        <w:t xml:space="preserve"> </w:t>
      </w:r>
      <w:bookmarkStart w:id="166" w:name="_Toc250731337"/>
      <w:bookmarkStart w:id="167" w:name="_Toc261532727"/>
      <w:bookmarkStart w:id="168" w:name="_Toc470102517"/>
      <w:bookmarkEnd w:id="164"/>
      <w:bookmarkEnd w:id="165"/>
      <w:r w:rsidR="00CC4734">
        <w:rPr>
          <w:rFonts w:cs="Tahoma"/>
          <w:sz w:val="24"/>
        </w:rPr>
        <w:t xml:space="preserve">16.4.3               </w:t>
      </w:r>
      <w:r w:rsidRPr="003C5180">
        <w:rPr>
          <w:rFonts w:cs="Tahoma"/>
          <w:sz w:val="24"/>
        </w:rPr>
        <w:t>Randomisation</w:t>
      </w:r>
      <w:bookmarkEnd w:id="166"/>
      <w:bookmarkEnd w:id="167"/>
      <w:bookmarkEnd w:id="168"/>
    </w:p>
    <w:p w14:paraId="4C000873" w14:textId="0A49F0E2" w:rsidR="00B7587A" w:rsidRPr="003C5180" w:rsidRDefault="00B7587A" w:rsidP="00B7587A">
      <w:pPr>
        <w:jc w:val="both"/>
        <w:rPr>
          <w:lang w:eastAsia="en-GB"/>
        </w:rPr>
      </w:pPr>
      <w:r>
        <w:rPr>
          <w:lang w:eastAsia="en-GB"/>
        </w:rPr>
        <w:t>Two</w:t>
      </w:r>
      <w:r w:rsidRPr="003C5180">
        <w:rPr>
          <w:lang w:eastAsia="en-GB"/>
        </w:rPr>
        <w:t xml:space="preserve"> computerised block randomisation list</w:t>
      </w:r>
      <w:r>
        <w:rPr>
          <w:lang w:eastAsia="en-GB"/>
        </w:rPr>
        <w:t>s</w:t>
      </w:r>
      <w:r w:rsidRPr="003C5180">
        <w:rPr>
          <w:lang w:eastAsia="en-GB"/>
        </w:rPr>
        <w:t xml:space="preserve"> </w:t>
      </w:r>
      <w:r>
        <w:rPr>
          <w:lang w:eastAsia="en-GB"/>
        </w:rPr>
        <w:t xml:space="preserve">(one for gestational age&lt;30 weeks and one for 30-34+6 weeks) </w:t>
      </w:r>
      <w:r w:rsidRPr="003C5180">
        <w:rPr>
          <w:lang w:eastAsia="en-GB"/>
        </w:rPr>
        <w:t xml:space="preserve">will be produced by the statistician at Public Health England. </w:t>
      </w:r>
      <w:r>
        <w:rPr>
          <w:lang w:eastAsia="en-GB"/>
        </w:rPr>
        <w:t xml:space="preserve">The appropriate group number will be placed inside an opaque envelope bearing the corresponding participant number by a team of staff from SGUL who are not otherwise involved in the study. </w:t>
      </w:r>
      <w:r w:rsidRPr="003C5180">
        <w:rPr>
          <w:lang w:eastAsia="en-GB"/>
        </w:rPr>
        <w:t>Each centre will be allocated blocks of sequential numbers in accordance with the block size used for randomisation</w:t>
      </w:r>
      <w:r>
        <w:rPr>
          <w:lang w:eastAsia="en-GB"/>
        </w:rPr>
        <w:t xml:space="preserve"> and will be provided with the necessary envelopes</w:t>
      </w:r>
      <w:r w:rsidRPr="003C5180">
        <w:rPr>
          <w:lang w:eastAsia="en-GB"/>
        </w:rPr>
        <w:t xml:space="preserve"> On recruitment to the study</w:t>
      </w:r>
      <w:r w:rsidR="003A6F5A">
        <w:rPr>
          <w:lang w:eastAsia="en-GB"/>
        </w:rPr>
        <w:t xml:space="preserve"> at Visit 1</w:t>
      </w:r>
      <w:r w:rsidRPr="003C5180">
        <w:rPr>
          <w:lang w:eastAsia="en-GB"/>
        </w:rPr>
        <w:t xml:space="preserve">, each </w:t>
      </w:r>
      <w:r>
        <w:rPr>
          <w:lang w:eastAsia="en-GB"/>
        </w:rPr>
        <w:t>participant</w:t>
      </w:r>
      <w:r w:rsidRPr="003C5180">
        <w:rPr>
          <w:lang w:eastAsia="en-GB"/>
        </w:rPr>
        <w:t xml:space="preserve"> will be allocated, in order of inclusion, the next available </w:t>
      </w:r>
      <w:r>
        <w:rPr>
          <w:lang w:eastAsia="en-GB"/>
        </w:rPr>
        <w:t>participant</w:t>
      </w:r>
      <w:r w:rsidRPr="003C5180">
        <w:rPr>
          <w:lang w:eastAsia="en-GB"/>
        </w:rPr>
        <w:t xml:space="preserve"> number</w:t>
      </w:r>
      <w:r>
        <w:rPr>
          <w:lang w:eastAsia="en-GB"/>
        </w:rPr>
        <w:t xml:space="preserve"> from the appropriate list depending on gestation</w:t>
      </w:r>
      <w:r w:rsidRPr="003C5180">
        <w:rPr>
          <w:lang w:eastAsia="en-GB"/>
        </w:rPr>
        <w:t>.</w:t>
      </w:r>
      <w:r>
        <w:rPr>
          <w:lang w:eastAsia="en-GB"/>
        </w:rPr>
        <w:t xml:space="preserve"> The local study team will then open the envelope and reveal the group number. This</w:t>
      </w:r>
      <w:r w:rsidRPr="003C5180">
        <w:rPr>
          <w:lang w:eastAsia="en-GB"/>
        </w:rPr>
        <w:t xml:space="preserve"> will define the group to which the baby is assigned and, therefore, the vaccination schedule the baby will receive. </w:t>
      </w:r>
      <w:r w:rsidR="0009567E" w:rsidRPr="00DF71BB">
        <w:rPr>
          <w:lang w:eastAsia="en-GB"/>
        </w:rPr>
        <w:t xml:space="preserve">The </w:t>
      </w:r>
      <w:r w:rsidR="0009567E" w:rsidRPr="00C933BC">
        <w:rPr>
          <w:lang w:eastAsia="en-GB"/>
        </w:rPr>
        <w:t>randomisation procedure must take place at the first visit</w:t>
      </w:r>
      <w:r w:rsidR="003A6F5A">
        <w:rPr>
          <w:lang w:eastAsia="en-GB"/>
        </w:rPr>
        <w:t>.</w:t>
      </w:r>
    </w:p>
    <w:p w14:paraId="385109D5" w14:textId="77777777" w:rsidR="002F77E5" w:rsidRPr="003C5180" w:rsidRDefault="002F77E5" w:rsidP="00CC4734">
      <w:pPr>
        <w:pStyle w:val="Heading2"/>
        <w:numPr>
          <w:ilvl w:val="1"/>
          <w:numId w:val="26"/>
        </w:numPr>
        <w:rPr>
          <w:rFonts w:cs="Tahoma"/>
          <w:sz w:val="24"/>
        </w:rPr>
      </w:pPr>
      <w:bookmarkStart w:id="169" w:name="_Toc250731338"/>
      <w:bookmarkStart w:id="170" w:name="_Toc261532728"/>
      <w:bookmarkStart w:id="171" w:name="_Toc470102518"/>
      <w:r w:rsidRPr="003C5180">
        <w:rPr>
          <w:rFonts w:cs="Tahoma"/>
          <w:sz w:val="24"/>
        </w:rPr>
        <w:t>Interim analysis</w:t>
      </w:r>
      <w:bookmarkEnd w:id="169"/>
      <w:bookmarkEnd w:id="170"/>
      <w:bookmarkEnd w:id="171"/>
    </w:p>
    <w:p w14:paraId="17F2F2FE" w14:textId="77777777" w:rsidR="002F77E5" w:rsidRPr="003C5180" w:rsidRDefault="002F77E5" w:rsidP="002F77E5">
      <w:pPr>
        <w:spacing w:after="120" w:line="320" w:lineRule="exact"/>
        <w:jc w:val="both"/>
        <w:rPr>
          <w:lang w:eastAsia="en-GB"/>
        </w:rPr>
      </w:pPr>
      <w:r w:rsidRPr="003C5180">
        <w:rPr>
          <w:lang w:eastAsia="en-GB"/>
        </w:rPr>
        <w:t xml:space="preserve">As all vaccines used in this clinical trial are licensed for routine use in infants, interim analysis will not be performed. All data will be analysed at the </w:t>
      </w:r>
      <w:r w:rsidR="00A67E01">
        <w:rPr>
          <w:lang w:eastAsia="en-GB"/>
        </w:rPr>
        <w:t xml:space="preserve">overall </w:t>
      </w:r>
      <w:r w:rsidRPr="003C5180">
        <w:rPr>
          <w:lang w:eastAsia="en-GB"/>
        </w:rPr>
        <w:t xml:space="preserve">end of the study. </w:t>
      </w:r>
    </w:p>
    <w:p w14:paraId="5E60C01B" w14:textId="77777777" w:rsidR="004571CC" w:rsidRPr="00752F0E" w:rsidRDefault="003A6F73" w:rsidP="004F6578">
      <w:pPr>
        <w:pStyle w:val="Heading1"/>
        <w:numPr>
          <w:ilvl w:val="0"/>
          <w:numId w:val="26"/>
        </w:numPr>
        <w:rPr>
          <w:rFonts w:ascii="Calibri" w:hAnsi="Calibri"/>
          <w:szCs w:val="28"/>
        </w:rPr>
      </w:pPr>
      <w:bookmarkStart w:id="172" w:name="_Toc470102521"/>
      <w:r w:rsidRPr="004F6578">
        <w:rPr>
          <w:rFonts w:ascii="Calibri" w:hAnsi="Calibri"/>
          <w:szCs w:val="28"/>
        </w:rPr>
        <w:t xml:space="preserve">Committees </w:t>
      </w:r>
      <w:r w:rsidR="004571CC" w:rsidRPr="004F6578">
        <w:rPr>
          <w:rFonts w:ascii="Calibri" w:hAnsi="Calibri"/>
          <w:szCs w:val="28"/>
        </w:rPr>
        <w:t>involved in the trial</w:t>
      </w:r>
      <w:bookmarkEnd w:id="132"/>
      <w:bookmarkEnd w:id="172"/>
    </w:p>
    <w:p w14:paraId="40B6B0BD" w14:textId="77777777" w:rsidR="00132B5C" w:rsidRPr="003C5180" w:rsidRDefault="00132B5C" w:rsidP="00277F6C">
      <w:pPr>
        <w:widowControl w:val="0"/>
        <w:autoSpaceDE w:val="0"/>
        <w:autoSpaceDN w:val="0"/>
        <w:adjustRightInd w:val="0"/>
        <w:spacing w:after="0"/>
        <w:rPr>
          <w:lang w:eastAsia="en-GB"/>
        </w:rPr>
      </w:pPr>
      <w:r w:rsidRPr="003C5180">
        <w:rPr>
          <w:lang w:eastAsia="en-GB"/>
        </w:rPr>
        <w:t xml:space="preserve">A Trial Management Group (TMG) </w:t>
      </w:r>
      <w:r w:rsidR="00A67E01" w:rsidRPr="003C5180">
        <w:rPr>
          <w:lang w:eastAsia="en-GB"/>
        </w:rPr>
        <w:t xml:space="preserve">will be formed </w:t>
      </w:r>
      <w:r w:rsidRPr="003C5180">
        <w:rPr>
          <w:lang w:eastAsia="en-GB"/>
        </w:rPr>
        <w:t>consisting of the CI, the study coordinator, the PIs</w:t>
      </w:r>
      <w:r w:rsidR="00017A8C" w:rsidRPr="003C5180">
        <w:rPr>
          <w:lang w:eastAsia="en-GB"/>
        </w:rPr>
        <w:t xml:space="preserve"> and sub investigators</w:t>
      </w:r>
      <w:r w:rsidRPr="003C5180">
        <w:rPr>
          <w:lang w:eastAsia="en-GB"/>
        </w:rPr>
        <w:t xml:space="preserve"> at each site and the trial statistician. </w:t>
      </w:r>
      <w:r w:rsidR="00A67E01" w:rsidRPr="00A67E01">
        <w:rPr>
          <w:rFonts w:cs="Arial"/>
          <w:szCs w:val="22"/>
          <w:lang w:val="en-US"/>
        </w:rPr>
        <w:t xml:space="preserve">The </w:t>
      </w:r>
      <w:r w:rsidR="00A67E01">
        <w:rPr>
          <w:rFonts w:cs="Arial"/>
          <w:szCs w:val="22"/>
          <w:lang w:val="en-US"/>
        </w:rPr>
        <w:t xml:space="preserve">TMG </w:t>
      </w:r>
      <w:r w:rsidR="00A67E01" w:rsidRPr="00A67E01">
        <w:rPr>
          <w:rFonts w:cs="Arial"/>
          <w:szCs w:val="22"/>
          <w:lang w:val="en-US"/>
        </w:rPr>
        <w:t>will supervise</w:t>
      </w:r>
      <w:r w:rsidR="00A67E01">
        <w:rPr>
          <w:rFonts w:cs="Arial"/>
          <w:szCs w:val="22"/>
          <w:lang w:val="en-US"/>
        </w:rPr>
        <w:t xml:space="preserve"> the</w:t>
      </w:r>
      <w:r w:rsidR="00A67E01" w:rsidRPr="00A67E01">
        <w:rPr>
          <w:rFonts w:cs="Arial"/>
          <w:szCs w:val="22"/>
          <w:lang w:val="en-US"/>
        </w:rPr>
        <w:t xml:space="preserve"> trial on a day-to-day basis</w:t>
      </w:r>
      <w:r w:rsidR="00A67E01">
        <w:rPr>
          <w:rFonts w:cs="Arial"/>
          <w:szCs w:val="22"/>
          <w:lang w:val="en-US"/>
        </w:rPr>
        <w:t>.</w:t>
      </w:r>
      <w:r w:rsidR="00A67E01" w:rsidRPr="0049179B">
        <w:rPr>
          <w:rFonts w:cs="Arial"/>
          <w:szCs w:val="22"/>
          <w:lang w:val="en-US"/>
        </w:rPr>
        <w:t xml:space="preserve"> </w:t>
      </w:r>
      <w:r w:rsidR="00A67E01">
        <w:rPr>
          <w:rFonts w:cs="Arial"/>
          <w:szCs w:val="22"/>
          <w:lang w:val="en-US"/>
        </w:rPr>
        <w:t xml:space="preserve">The TMG </w:t>
      </w:r>
      <w:r w:rsidRPr="003C5180">
        <w:rPr>
          <w:lang w:eastAsia="en-GB"/>
        </w:rPr>
        <w:t xml:space="preserve">meetings will be considered to be quorate if </w:t>
      </w:r>
      <w:r w:rsidR="00C84699">
        <w:rPr>
          <w:lang w:eastAsia="en-GB"/>
        </w:rPr>
        <w:t xml:space="preserve">at least </w:t>
      </w:r>
      <w:r w:rsidRPr="003C5180">
        <w:rPr>
          <w:lang w:eastAsia="en-GB"/>
        </w:rPr>
        <w:t>five members are able to attend. Information about the meeting</w:t>
      </w:r>
      <w:r w:rsidR="00C84699">
        <w:rPr>
          <w:lang w:eastAsia="en-GB"/>
        </w:rPr>
        <w:t>s</w:t>
      </w:r>
      <w:r w:rsidRPr="003C5180">
        <w:rPr>
          <w:lang w:eastAsia="en-GB"/>
        </w:rPr>
        <w:t xml:space="preserve"> will be circulated by the study coordinator or their delegate and the meetings will take place by teleconference at intervals of </w:t>
      </w:r>
      <w:r w:rsidR="00C84699">
        <w:rPr>
          <w:lang w:eastAsia="en-GB"/>
        </w:rPr>
        <w:t>3</w:t>
      </w:r>
      <w:r w:rsidR="00C84699" w:rsidRPr="003C5180">
        <w:rPr>
          <w:lang w:eastAsia="en-GB"/>
        </w:rPr>
        <w:t xml:space="preserve"> </w:t>
      </w:r>
      <w:r w:rsidRPr="003C5180">
        <w:rPr>
          <w:lang w:eastAsia="en-GB"/>
        </w:rPr>
        <w:t xml:space="preserve">months to discuss the progress of the study. The initial meeting will focus on the logistics of </w:t>
      </w:r>
      <w:r w:rsidR="0002675A" w:rsidRPr="003C5180">
        <w:rPr>
          <w:lang w:eastAsia="en-GB"/>
        </w:rPr>
        <w:t>study set up</w:t>
      </w:r>
      <w:r w:rsidRPr="003C5180">
        <w:rPr>
          <w:lang w:eastAsia="en-GB"/>
        </w:rPr>
        <w:t xml:space="preserve"> and subsequent meetings will cover issues around recruitment, retention, protocol deviations and adverse events. Minutes will be taken by the study coordinator or their delegate and these will be distributed following the meeting. As all vaccines used within this study are part of routine care in the UK an Independent Data Monitoring Committee (IDMC) is not required.  </w:t>
      </w:r>
    </w:p>
    <w:p w14:paraId="3BA70FD6" w14:textId="77777777" w:rsidR="004571CC" w:rsidRPr="003C5180" w:rsidRDefault="004571CC" w:rsidP="00586EF2">
      <w:pPr>
        <w:pStyle w:val="Heading1"/>
        <w:numPr>
          <w:ilvl w:val="0"/>
          <w:numId w:val="26"/>
        </w:numPr>
        <w:rPr>
          <w:rFonts w:ascii="Calibri" w:hAnsi="Calibri"/>
          <w:szCs w:val="28"/>
        </w:rPr>
      </w:pPr>
      <w:bookmarkStart w:id="173" w:name="_Toc261532731"/>
      <w:bookmarkStart w:id="174" w:name="_Toc470102522"/>
      <w:r w:rsidRPr="003C5180">
        <w:rPr>
          <w:rFonts w:ascii="Calibri" w:hAnsi="Calibri"/>
          <w:szCs w:val="28"/>
        </w:rPr>
        <w:t xml:space="preserve">Direct </w:t>
      </w:r>
      <w:r w:rsidR="00A3337E" w:rsidRPr="003C5180">
        <w:rPr>
          <w:rFonts w:ascii="Calibri" w:hAnsi="Calibri"/>
          <w:szCs w:val="28"/>
        </w:rPr>
        <w:t>a</w:t>
      </w:r>
      <w:r w:rsidRPr="003C5180">
        <w:rPr>
          <w:rFonts w:ascii="Calibri" w:hAnsi="Calibri"/>
          <w:szCs w:val="28"/>
        </w:rPr>
        <w:t xml:space="preserve">ccess to </w:t>
      </w:r>
      <w:r w:rsidR="00A3337E" w:rsidRPr="003C5180">
        <w:rPr>
          <w:rFonts w:ascii="Calibri" w:hAnsi="Calibri"/>
          <w:szCs w:val="28"/>
        </w:rPr>
        <w:t>s</w:t>
      </w:r>
      <w:r w:rsidRPr="003C5180">
        <w:rPr>
          <w:rFonts w:ascii="Calibri" w:hAnsi="Calibri"/>
          <w:szCs w:val="28"/>
        </w:rPr>
        <w:t xml:space="preserve">ource </w:t>
      </w:r>
      <w:r w:rsidR="00A3337E" w:rsidRPr="003C5180">
        <w:rPr>
          <w:rFonts w:ascii="Calibri" w:hAnsi="Calibri"/>
          <w:szCs w:val="28"/>
        </w:rPr>
        <w:t>d</w:t>
      </w:r>
      <w:r w:rsidRPr="003C5180">
        <w:rPr>
          <w:rFonts w:ascii="Calibri" w:hAnsi="Calibri"/>
          <w:szCs w:val="28"/>
        </w:rPr>
        <w:t>ata</w:t>
      </w:r>
      <w:bookmarkEnd w:id="173"/>
      <w:bookmarkEnd w:id="174"/>
    </w:p>
    <w:p w14:paraId="13176208" w14:textId="77777777" w:rsidR="004571CC" w:rsidRPr="003C5180" w:rsidRDefault="004571CC" w:rsidP="00A52E7D">
      <w:pPr>
        <w:jc w:val="both"/>
        <w:rPr>
          <w:lang w:eastAsia="en-GB"/>
        </w:rPr>
      </w:pPr>
      <w:r w:rsidRPr="003C5180">
        <w:rPr>
          <w:lang w:eastAsia="en-GB"/>
        </w:rPr>
        <w:t xml:space="preserve">The </w:t>
      </w:r>
      <w:r w:rsidR="0002675A" w:rsidRPr="003C5180">
        <w:rPr>
          <w:lang w:eastAsia="en-GB"/>
        </w:rPr>
        <w:t>PI and their institutions</w:t>
      </w:r>
      <w:r w:rsidRPr="003C5180">
        <w:rPr>
          <w:lang w:eastAsia="en-GB"/>
        </w:rPr>
        <w:t xml:space="preserve"> will permit trial-related monitoring, audits, REC review, and regulatory inspection(s), providing direct access to source data/documents. Trial participants are informed of this during the informed consent discussion. Participants will consent to provide access to their medical notes.</w:t>
      </w:r>
    </w:p>
    <w:p w14:paraId="031885DB" w14:textId="77777777" w:rsidR="004571CC" w:rsidRPr="003C5180" w:rsidRDefault="00512291" w:rsidP="00586EF2">
      <w:pPr>
        <w:pStyle w:val="Heading1"/>
        <w:numPr>
          <w:ilvl w:val="0"/>
          <w:numId w:val="26"/>
        </w:numPr>
        <w:rPr>
          <w:rFonts w:ascii="Calibri" w:hAnsi="Calibri"/>
          <w:szCs w:val="28"/>
        </w:rPr>
      </w:pPr>
      <w:bookmarkStart w:id="175" w:name="_Toc470102523"/>
      <w:r w:rsidRPr="003C5180">
        <w:rPr>
          <w:rFonts w:ascii="Calibri" w:hAnsi="Calibri"/>
          <w:szCs w:val="28"/>
        </w:rPr>
        <w:t>Site approval and ongoing Regulatory compliance</w:t>
      </w:r>
      <w:bookmarkEnd w:id="175"/>
    </w:p>
    <w:p w14:paraId="5ED3D7D5" w14:textId="77777777" w:rsidR="002B6C13" w:rsidRPr="003C5180" w:rsidRDefault="00764183" w:rsidP="00A52E7D">
      <w:pPr>
        <w:jc w:val="both"/>
        <w:rPr>
          <w:lang w:eastAsia="en-GB"/>
        </w:rPr>
      </w:pPr>
      <w:r w:rsidRPr="003C5180">
        <w:rPr>
          <w:lang w:eastAsia="en-GB"/>
        </w:rPr>
        <w:t xml:space="preserve">Before any site can enrol patients into the trial, the Principal Investigator must ensure </w:t>
      </w:r>
      <w:r w:rsidR="00C84699">
        <w:rPr>
          <w:lang w:eastAsia="en-GB"/>
        </w:rPr>
        <w:t xml:space="preserve">that </w:t>
      </w:r>
      <w:r w:rsidRPr="003C5180">
        <w:rPr>
          <w:lang w:eastAsia="en-GB"/>
        </w:rPr>
        <w:t xml:space="preserve">written permission to proceed </w:t>
      </w:r>
      <w:r w:rsidR="00C84699">
        <w:rPr>
          <w:lang w:eastAsia="en-GB"/>
        </w:rPr>
        <w:t xml:space="preserve">is in place </w:t>
      </w:r>
      <w:r w:rsidR="00CC4734">
        <w:rPr>
          <w:lang w:eastAsia="en-GB"/>
        </w:rPr>
        <w:t xml:space="preserve">and </w:t>
      </w:r>
      <w:r w:rsidR="00C84699">
        <w:rPr>
          <w:lang w:eastAsia="en-GB"/>
        </w:rPr>
        <w:t xml:space="preserve">that </w:t>
      </w:r>
      <w:r w:rsidR="00CC4734">
        <w:rPr>
          <w:lang w:eastAsia="en-GB"/>
        </w:rPr>
        <w:t xml:space="preserve">confirmation of capacity and capability </w:t>
      </w:r>
      <w:r w:rsidRPr="003C5180">
        <w:rPr>
          <w:lang w:eastAsia="en-GB"/>
        </w:rPr>
        <w:t xml:space="preserve">has been granted by that </w:t>
      </w:r>
      <w:r w:rsidR="00C84699">
        <w:rPr>
          <w:lang w:eastAsia="en-GB"/>
        </w:rPr>
        <w:t xml:space="preserve">local </w:t>
      </w:r>
      <w:r w:rsidRPr="003C5180">
        <w:rPr>
          <w:lang w:eastAsia="en-GB"/>
        </w:rPr>
        <w:t>Trust Research &amp; Development (R&amp;D)</w:t>
      </w:r>
      <w:r w:rsidR="00C84699">
        <w:rPr>
          <w:lang w:eastAsia="en-GB"/>
        </w:rPr>
        <w:t xml:space="preserve"> department</w:t>
      </w:r>
      <w:r w:rsidRPr="003C5180">
        <w:rPr>
          <w:lang w:eastAsia="en-GB"/>
        </w:rPr>
        <w:t>.</w:t>
      </w:r>
      <w:r w:rsidR="002B6C13" w:rsidRPr="003C5180">
        <w:rPr>
          <w:lang w:eastAsia="en-GB"/>
        </w:rPr>
        <w:t xml:space="preserve"> The</w:t>
      </w:r>
      <w:r w:rsidR="00512291" w:rsidRPr="003C5180">
        <w:rPr>
          <w:lang w:eastAsia="en-GB"/>
        </w:rPr>
        <w:t xml:space="preserve"> site must conduct the trial in compliance with the protocol as agreed by the </w:t>
      </w:r>
      <w:r w:rsidR="00CC4734">
        <w:rPr>
          <w:lang w:eastAsia="en-GB"/>
        </w:rPr>
        <w:t>S</w:t>
      </w:r>
      <w:r w:rsidR="00512291" w:rsidRPr="003C5180">
        <w:rPr>
          <w:lang w:eastAsia="en-GB"/>
        </w:rPr>
        <w:t xml:space="preserve">ponsor and, by the regulatory </w:t>
      </w:r>
      <w:r w:rsidR="00C662DB" w:rsidRPr="003C5180">
        <w:rPr>
          <w:lang w:eastAsia="en-GB"/>
        </w:rPr>
        <w:t>authorit</w:t>
      </w:r>
      <w:r w:rsidR="00512291" w:rsidRPr="003C5180">
        <w:rPr>
          <w:lang w:eastAsia="en-GB"/>
        </w:rPr>
        <w:t>ies as appropriate</w:t>
      </w:r>
      <w:r w:rsidR="00C84699">
        <w:rPr>
          <w:lang w:eastAsia="en-GB"/>
        </w:rPr>
        <w:t>,</w:t>
      </w:r>
      <w:r w:rsidR="00512291" w:rsidRPr="003C5180">
        <w:rPr>
          <w:lang w:eastAsia="en-GB"/>
        </w:rPr>
        <w:t xml:space="preserve"> and which was given favourable opinion by the Research Ethics Committee (REC)</w:t>
      </w:r>
      <w:r w:rsidR="00CC4734">
        <w:rPr>
          <w:lang w:eastAsia="en-GB"/>
        </w:rPr>
        <w:t xml:space="preserve"> and Health Research Authority (HRA)</w:t>
      </w:r>
      <w:r w:rsidR="00512291" w:rsidRPr="003C5180">
        <w:rPr>
          <w:lang w:eastAsia="en-GB"/>
        </w:rPr>
        <w:t xml:space="preserve"> </w:t>
      </w:r>
    </w:p>
    <w:p w14:paraId="000BE5D8" w14:textId="77777777" w:rsidR="002B6C13" w:rsidRPr="003C5180" w:rsidRDefault="002B6C13" w:rsidP="00A52E7D">
      <w:pPr>
        <w:jc w:val="both"/>
        <w:rPr>
          <w:lang w:eastAsia="en-GB"/>
        </w:rPr>
      </w:pPr>
      <w:r w:rsidRPr="003C5180">
        <w:rPr>
          <w:lang w:eastAsia="en-GB"/>
        </w:rPr>
        <w:t xml:space="preserve">The Chief Investigator will be provided </w:t>
      </w:r>
      <w:r w:rsidR="004F1B5C" w:rsidRPr="003C5180">
        <w:rPr>
          <w:lang w:eastAsia="en-GB"/>
        </w:rPr>
        <w:t xml:space="preserve">(via the </w:t>
      </w:r>
      <w:r w:rsidR="00CC4734">
        <w:rPr>
          <w:lang w:eastAsia="en-GB"/>
        </w:rPr>
        <w:t>S</w:t>
      </w:r>
      <w:r w:rsidR="004F1B5C" w:rsidRPr="003C5180">
        <w:rPr>
          <w:lang w:eastAsia="en-GB"/>
        </w:rPr>
        <w:t xml:space="preserve">ponsor) </w:t>
      </w:r>
      <w:r w:rsidRPr="003C5180">
        <w:rPr>
          <w:lang w:eastAsia="en-GB"/>
        </w:rPr>
        <w:t>with file index</w:t>
      </w:r>
      <w:r w:rsidR="004F1B5C" w:rsidRPr="003C5180">
        <w:rPr>
          <w:lang w:eastAsia="en-GB"/>
        </w:rPr>
        <w:t xml:space="preserve">es i.e. JREODOC0003 TMF index and JREODOC0004 ISF index </w:t>
      </w:r>
      <w:r w:rsidRPr="003C5180">
        <w:rPr>
          <w:lang w:eastAsia="en-GB"/>
        </w:rPr>
        <w:t>for use with SOP JREOSOP</w:t>
      </w:r>
      <w:r w:rsidR="004F1B5C" w:rsidRPr="003C5180">
        <w:rPr>
          <w:lang w:eastAsia="en-GB"/>
        </w:rPr>
        <w:t>0019 ‘Preparation and Maintena</w:t>
      </w:r>
      <w:r w:rsidR="001905CA" w:rsidRPr="003C5180">
        <w:rPr>
          <w:lang w:eastAsia="en-GB"/>
        </w:rPr>
        <w:t>nce of the TMF’ The CI</w:t>
      </w:r>
      <w:r w:rsidR="004F1B5C" w:rsidRPr="003C5180">
        <w:rPr>
          <w:lang w:eastAsia="en-GB"/>
        </w:rPr>
        <w:t xml:space="preserve"> will be responsible for the maintenance of the TMF and will delegate the responsibility of ISF file maintenance to the PI at each participating site.</w:t>
      </w:r>
    </w:p>
    <w:p w14:paraId="637D4351" w14:textId="77777777" w:rsidR="004571CC" w:rsidRPr="003C5180" w:rsidRDefault="004571CC" w:rsidP="00A52E7D">
      <w:pPr>
        <w:jc w:val="both"/>
        <w:rPr>
          <w:lang w:eastAsia="en-GB"/>
        </w:rPr>
      </w:pPr>
      <w:r w:rsidRPr="003C5180">
        <w:rPr>
          <w:lang w:eastAsia="en-GB"/>
        </w:rPr>
        <w:t xml:space="preserve">It is the responsibility of the </w:t>
      </w:r>
      <w:r w:rsidR="00C84699">
        <w:rPr>
          <w:lang w:eastAsia="en-GB"/>
        </w:rPr>
        <w:t>PI</w:t>
      </w:r>
      <w:r w:rsidRPr="003C5180">
        <w:rPr>
          <w:lang w:eastAsia="en-GB"/>
        </w:rPr>
        <w:t xml:space="preserve"> at each site to ensure that all subsequent </w:t>
      </w:r>
      <w:r w:rsidR="00C84699">
        <w:rPr>
          <w:lang w:eastAsia="en-GB"/>
        </w:rPr>
        <w:t xml:space="preserve">REC-approved </w:t>
      </w:r>
      <w:r w:rsidRPr="003C5180">
        <w:rPr>
          <w:lang w:eastAsia="en-GB"/>
        </w:rPr>
        <w:t>amendments gain t</w:t>
      </w:r>
      <w:r w:rsidR="00397BFD" w:rsidRPr="003C5180">
        <w:rPr>
          <w:lang w:eastAsia="en-GB"/>
        </w:rPr>
        <w:t xml:space="preserve">he necessary </w:t>
      </w:r>
      <w:r w:rsidR="00C84699">
        <w:rPr>
          <w:lang w:eastAsia="en-GB"/>
        </w:rPr>
        <w:t xml:space="preserve">local R&amp;D </w:t>
      </w:r>
      <w:r w:rsidR="002B6C13" w:rsidRPr="003C5180">
        <w:rPr>
          <w:lang w:eastAsia="en-GB"/>
        </w:rPr>
        <w:t>approval</w:t>
      </w:r>
      <w:r w:rsidR="00C84699">
        <w:rPr>
          <w:lang w:eastAsia="en-GB"/>
        </w:rPr>
        <w:t>s</w:t>
      </w:r>
      <w:r w:rsidR="002B6C13" w:rsidRPr="003C5180">
        <w:rPr>
          <w:lang w:eastAsia="en-GB"/>
        </w:rPr>
        <w:t>. Refer to JREOSOP0011 ‘Management of Amendments’.</w:t>
      </w:r>
      <w:r w:rsidR="00397BFD" w:rsidRPr="003C5180">
        <w:rPr>
          <w:lang w:eastAsia="en-GB"/>
        </w:rPr>
        <w:t xml:space="preserve"> </w:t>
      </w:r>
      <w:r w:rsidRPr="003C5180">
        <w:rPr>
          <w:lang w:eastAsia="en-GB"/>
        </w:rPr>
        <w:t xml:space="preserve">This does not affect the individual clinician’s responsibility to take immediate action if thought necessary to protect the health and </w:t>
      </w:r>
      <w:r w:rsidR="00DF0F4E" w:rsidRPr="003C5180">
        <w:rPr>
          <w:lang w:eastAsia="en-GB"/>
        </w:rPr>
        <w:t>interest of individual patients.</w:t>
      </w:r>
    </w:p>
    <w:p w14:paraId="578C6EF1" w14:textId="77777777" w:rsidR="004571CC" w:rsidRPr="003C5180" w:rsidRDefault="004571CC" w:rsidP="00A52E7D">
      <w:pPr>
        <w:jc w:val="both"/>
        <w:rPr>
          <w:lang w:eastAsia="en-GB"/>
        </w:rPr>
      </w:pPr>
      <w:r w:rsidRPr="003C5180">
        <w:rPr>
          <w:lang w:eastAsia="en-GB"/>
        </w:rPr>
        <w:t xml:space="preserve">Within 90 days after the </w:t>
      </w:r>
      <w:r w:rsidR="00C84699">
        <w:rPr>
          <w:lang w:eastAsia="en-GB"/>
        </w:rPr>
        <w:t xml:space="preserve">overall </w:t>
      </w:r>
      <w:r w:rsidRPr="003C5180">
        <w:rPr>
          <w:lang w:eastAsia="en-GB"/>
        </w:rPr>
        <w:t>end of the trial, the CI and Sponsor will ensure that the REC and the MHRA are notified that the trial has finished.  If the trial is terminated prematurely, those reports will be made within 15 days after the end of the trial</w:t>
      </w:r>
      <w:r w:rsidR="002B6C13" w:rsidRPr="003C5180">
        <w:rPr>
          <w:lang w:eastAsia="en-GB"/>
        </w:rPr>
        <w:t>. Refer to JREOSOP0015 ‘End of study declaration’</w:t>
      </w:r>
    </w:p>
    <w:p w14:paraId="4188E5F9" w14:textId="77777777" w:rsidR="004571CC" w:rsidRPr="003C5180" w:rsidRDefault="004571CC" w:rsidP="00A52E7D">
      <w:pPr>
        <w:jc w:val="both"/>
        <w:rPr>
          <w:lang w:eastAsia="en-GB"/>
        </w:rPr>
      </w:pPr>
      <w:r w:rsidRPr="003C5180">
        <w:rPr>
          <w:lang w:eastAsia="en-GB"/>
        </w:rPr>
        <w:t>The CI will supply a</w:t>
      </w:r>
      <w:r w:rsidR="00760D3D" w:rsidRPr="003C5180">
        <w:rPr>
          <w:lang w:eastAsia="en-GB"/>
        </w:rPr>
        <w:t>n End of Study report</w:t>
      </w:r>
      <w:r w:rsidRPr="003C5180">
        <w:rPr>
          <w:lang w:eastAsia="en-GB"/>
        </w:rPr>
        <w:t xml:space="preserve"> of the clinical trial to the MHRA and REC within </w:t>
      </w:r>
      <w:r w:rsidR="00C84699">
        <w:rPr>
          <w:lang w:eastAsia="en-GB"/>
        </w:rPr>
        <w:t>1</w:t>
      </w:r>
      <w:r w:rsidR="00C84699" w:rsidRPr="003C5180">
        <w:rPr>
          <w:lang w:eastAsia="en-GB"/>
        </w:rPr>
        <w:t> </w:t>
      </w:r>
      <w:r w:rsidRPr="003C5180">
        <w:rPr>
          <w:lang w:eastAsia="en-GB"/>
        </w:rPr>
        <w:t xml:space="preserve">year after the </w:t>
      </w:r>
      <w:r w:rsidR="00C84699">
        <w:rPr>
          <w:lang w:eastAsia="en-GB"/>
        </w:rPr>
        <w:t xml:space="preserve">overall </w:t>
      </w:r>
      <w:r w:rsidRPr="003C5180">
        <w:rPr>
          <w:lang w:eastAsia="en-GB"/>
        </w:rPr>
        <w:t>end of the trial.</w:t>
      </w:r>
      <w:r w:rsidR="00760D3D" w:rsidRPr="003C5180">
        <w:rPr>
          <w:lang w:eastAsia="en-GB"/>
        </w:rPr>
        <w:t xml:space="preserve"> The </w:t>
      </w:r>
      <w:r w:rsidR="00CC4734">
        <w:rPr>
          <w:lang w:eastAsia="en-GB"/>
        </w:rPr>
        <w:t>S</w:t>
      </w:r>
      <w:r w:rsidR="00760D3D" w:rsidRPr="003C5180">
        <w:rPr>
          <w:lang w:eastAsia="en-GB"/>
        </w:rPr>
        <w:t>ponsor can provide</w:t>
      </w:r>
      <w:r w:rsidRPr="003C5180">
        <w:rPr>
          <w:lang w:eastAsia="en-GB"/>
        </w:rPr>
        <w:t xml:space="preserve"> </w:t>
      </w:r>
      <w:r w:rsidR="00760D3D" w:rsidRPr="003C5180">
        <w:rPr>
          <w:lang w:eastAsia="en-GB"/>
        </w:rPr>
        <w:t>JREODOC0059 End of study Report template</w:t>
      </w:r>
      <w:r w:rsidR="006679C6">
        <w:rPr>
          <w:lang w:eastAsia="en-GB"/>
        </w:rPr>
        <w:t>. An End of Study report will be supplied to GSK and Meningitis Now within 60 days of study completion.</w:t>
      </w:r>
    </w:p>
    <w:p w14:paraId="3BEB53CE" w14:textId="77777777" w:rsidR="004571CC" w:rsidRPr="003C5180" w:rsidRDefault="00A3337E" w:rsidP="00586EF2">
      <w:pPr>
        <w:pStyle w:val="Heading1"/>
        <w:numPr>
          <w:ilvl w:val="0"/>
          <w:numId w:val="26"/>
        </w:numPr>
        <w:rPr>
          <w:rFonts w:ascii="Calibri" w:hAnsi="Calibri"/>
          <w:szCs w:val="28"/>
        </w:rPr>
      </w:pPr>
      <w:bookmarkStart w:id="176" w:name="_Toc261532733"/>
      <w:bookmarkStart w:id="177" w:name="_Toc470102524"/>
      <w:r w:rsidRPr="003C5180">
        <w:rPr>
          <w:rFonts w:ascii="Calibri" w:hAnsi="Calibri"/>
          <w:szCs w:val="28"/>
        </w:rPr>
        <w:t>Monitoring p</w:t>
      </w:r>
      <w:r w:rsidR="004571CC" w:rsidRPr="003C5180">
        <w:rPr>
          <w:rFonts w:ascii="Calibri" w:hAnsi="Calibri"/>
          <w:szCs w:val="28"/>
        </w:rPr>
        <w:t>lan for the trial</w:t>
      </w:r>
      <w:bookmarkEnd w:id="176"/>
      <w:bookmarkEnd w:id="177"/>
    </w:p>
    <w:p w14:paraId="4DFAD137" w14:textId="77777777" w:rsidR="00C662DB" w:rsidRPr="003C5180" w:rsidRDefault="005E18C0" w:rsidP="00B1288B">
      <w:pPr>
        <w:jc w:val="both"/>
        <w:rPr>
          <w:lang w:eastAsia="en-GB"/>
        </w:rPr>
      </w:pPr>
      <w:r w:rsidRPr="003C5180">
        <w:rPr>
          <w:lang w:eastAsia="en-GB"/>
        </w:rPr>
        <w:t xml:space="preserve">The CI will be requested to complete </w:t>
      </w:r>
      <w:r w:rsidR="00F92DB2" w:rsidRPr="003C5180">
        <w:rPr>
          <w:lang w:eastAsia="en-GB"/>
        </w:rPr>
        <w:t>the JREODOC0032</w:t>
      </w:r>
      <w:r w:rsidRPr="003C5180">
        <w:rPr>
          <w:lang w:eastAsia="en-GB"/>
        </w:rPr>
        <w:t xml:space="preserve"> Risk Assessment Questionnaire and forward to the </w:t>
      </w:r>
      <w:r w:rsidR="00CC4734">
        <w:rPr>
          <w:lang w:eastAsia="en-GB"/>
        </w:rPr>
        <w:t>S</w:t>
      </w:r>
      <w:r w:rsidRPr="003C5180">
        <w:rPr>
          <w:lang w:eastAsia="en-GB"/>
        </w:rPr>
        <w:t xml:space="preserve">ponsor to facilitate appropriate costing and Sponsorship in Principle to be issued prior to REC application. </w:t>
      </w:r>
    </w:p>
    <w:p w14:paraId="2A38FA7B" w14:textId="77777777" w:rsidR="004571CC" w:rsidRPr="003C5180" w:rsidRDefault="00C662DB" w:rsidP="00B1288B">
      <w:pPr>
        <w:jc w:val="both"/>
        <w:rPr>
          <w:lang w:eastAsia="en-GB"/>
        </w:rPr>
      </w:pPr>
      <w:r w:rsidRPr="003C5180">
        <w:rPr>
          <w:lang w:eastAsia="en-GB"/>
        </w:rPr>
        <w:t>The trial will be monitored according to the risk</w:t>
      </w:r>
      <w:r w:rsidR="00C84699">
        <w:rPr>
          <w:lang w:eastAsia="en-GB"/>
        </w:rPr>
        <w:t>-</w:t>
      </w:r>
      <w:r w:rsidRPr="003C5180">
        <w:rPr>
          <w:lang w:eastAsia="en-GB"/>
        </w:rPr>
        <w:t xml:space="preserve">based monitoring plan JREODOC0030 agreed by the Sponsor. </w:t>
      </w:r>
      <w:r w:rsidR="004571CC" w:rsidRPr="003C5180">
        <w:rPr>
          <w:lang w:eastAsia="en-GB"/>
        </w:rPr>
        <w:t xml:space="preserve">It is the responsibility of the CI to </w:t>
      </w:r>
      <w:r w:rsidR="00B1288B" w:rsidRPr="003C5180">
        <w:rPr>
          <w:lang w:eastAsia="en-GB"/>
        </w:rPr>
        <w:t>ensure that the S</w:t>
      </w:r>
      <w:r w:rsidR="004571CC" w:rsidRPr="003C5180">
        <w:rPr>
          <w:lang w:eastAsia="en-GB"/>
        </w:rPr>
        <w:t xml:space="preserve">ponsor’s self-monitoring template is completed </w:t>
      </w:r>
      <w:r w:rsidR="00EC242B" w:rsidRPr="003C5180">
        <w:rPr>
          <w:lang w:eastAsia="en-GB"/>
        </w:rPr>
        <w:t>and submitted as instructed (refer to the Study Monitoring Plan for detail)</w:t>
      </w:r>
      <w:r w:rsidR="004571CC" w:rsidRPr="003C5180">
        <w:rPr>
          <w:lang w:eastAsia="en-GB"/>
        </w:rPr>
        <w:t xml:space="preserve">. </w:t>
      </w:r>
      <w:r w:rsidR="00EC242B" w:rsidRPr="003C5180">
        <w:rPr>
          <w:lang w:eastAsia="en-GB"/>
        </w:rPr>
        <w:t>T</w:t>
      </w:r>
      <w:r w:rsidR="004571CC" w:rsidRPr="003C5180">
        <w:rPr>
          <w:lang w:eastAsia="en-GB"/>
        </w:rPr>
        <w:t>he JR</w:t>
      </w:r>
      <w:r w:rsidR="00057C30" w:rsidRPr="003C5180">
        <w:rPr>
          <w:lang w:eastAsia="en-GB"/>
        </w:rPr>
        <w:t>E</w:t>
      </w:r>
      <w:r w:rsidR="004571CC" w:rsidRPr="003C5180">
        <w:rPr>
          <w:lang w:eastAsia="en-GB"/>
        </w:rPr>
        <w:t xml:space="preserve">O </w:t>
      </w:r>
      <w:r w:rsidR="00EC242B" w:rsidRPr="003C5180">
        <w:rPr>
          <w:lang w:eastAsia="en-GB"/>
        </w:rPr>
        <w:t>governance team will</w:t>
      </w:r>
      <w:r w:rsidR="004571CC" w:rsidRPr="003C5180">
        <w:rPr>
          <w:lang w:eastAsia="en-GB"/>
        </w:rPr>
        <w:t xml:space="preserve"> determine the </w:t>
      </w:r>
      <w:r w:rsidR="00033BCA" w:rsidRPr="003C5180">
        <w:rPr>
          <w:lang w:eastAsia="en-GB"/>
        </w:rPr>
        <w:t xml:space="preserve">initial </w:t>
      </w:r>
      <w:r w:rsidR="00EC242B" w:rsidRPr="003C5180">
        <w:rPr>
          <w:lang w:eastAsia="en-GB"/>
        </w:rPr>
        <w:t>project</w:t>
      </w:r>
      <w:r w:rsidR="004571CC" w:rsidRPr="003C5180">
        <w:rPr>
          <w:lang w:eastAsia="en-GB"/>
        </w:rPr>
        <w:t xml:space="preserve"> risk assessment and </w:t>
      </w:r>
      <w:r w:rsidR="00EC242B" w:rsidRPr="003C5180">
        <w:rPr>
          <w:lang w:eastAsia="en-GB"/>
        </w:rPr>
        <w:t>justify</w:t>
      </w:r>
      <w:r w:rsidR="004571CC" w:rsidRPr="003C5180">
        <w:rPr>
          <w:lang w:eastAsia="en-GB"/>
        </w:rPr>
        <w:t xml:space="preserve"> </w:t>
      </w:r>
      <w:r w:rsidR="00033BCA" w:rsidRPr="003C5180">
        <w:rPr>
          <w:lang w:eastAsia="en-GB"/>
        </w:rPr>
        <w:t>change as the study progresses</w:t>
      </w:r>
      <w:r w:rsidR="004571CC" w:rsidRPr="003C5180">
        <w:rPr>
          <w:lang w:eastAsia="en-GB"/>
        </w:rPr>
        <w:t>.</w:t>
      </w:r>
    </w:p>
    <w:p w14:paraId="66EE0FCE" w14:textId="77777777" w:rsidR="00033BCA" w:rsidRPr="003C5180" w:rsidRDefault="004571CC" w:rsidP="00B1288B">
      <w:pPr>
        <w:jc w:val="both"/>
        <w:rPr>
          <w:lang w:eastAsia="en-GB"/>
        </w:rPr>
      </w:pPr>
      <w:r w:rsidRPr="003C5180">
        <w:rPr>
          <w:lang w:eastAsia="en-GB"/>
        </w:rPr>
        <w:t xml:space="preserve">The PI at each </w:t>
      </w:r>
      <w:r w:rsidR="007A5DA1" w:rsidRPr="003C5180">
        <w:rPr>
          <w:lang w:eastAsia="en-GB"/>
        </w:rPr>
        <w:t xml:space="preserve">collaborating </w:t>
      </w:r>
      <w:r w:rsidRPr="003C5180">
        <w:rPr>
          <w:lang w:eastAsia="en-GB"/>
        </w:rPr>
        <w:t xml:space="preserve">site </w:t>
      </w:r>
      <w:r w:rsidR="00A55B94" w:rsidRPr="003C5180">
        <w:rPr>
          <w:lang w:eastAsia="en-GB"/>
        </w:rPr>
        <w:t xml:space="preserve">in addition to </w:t>
      </w:r>
      <w:r w:rsidR="00C84699">
        <w:rPr>
          <w:lang w:eastAsia="en-GB"/>
        </w:rPr>
        <w:t xml:space="preserve">permitting and facilitating </w:t>
      </w:r>
      <w:r w:rsidR="00A55B94" w:rsidRPr="003C5180">
        <w:rPr>
          <w:lang w:eastAsia="en-GB"/>
        </w:rPr>
        <w:t xml:space="preserve">site monitoring </w:t>
      </w:r>
      <w:r w:rsidR="00C662DB" w:rsidRPr="003C5180">
        <w:rPr>
          <w:lang w:eastAsia="en-GB"/>
        </w:rPr>
        <w:t>visits</w:t>
      </w:r>
      <w:r w:rsidR="00A55B94" w:rsidRPr="003C5180">
        <w:rPr>
          <w:lang w:eastAsia="en-GB"/>
        </w:rPr>
        <w:t xml:space="preserve"> </w:t>
      </w:r>
      <w:r w:rsidR="00033BCA" w:rsidRPr="003C5180">
        <w:rPr>
          <w:lang w:eastAsia="en-GB"/>
        </w:rPr>
        <w:t>may</w:t>
      </w:r>
      <w:r w:rsidRPr="003C5180">
        <w:rPr>
          <w:lang w:eastAsia="en-GB"/>
        </w:rPr>
        <w:t xml:space="preserve"> also be required to complete </w:t>
      </w:r>
      <w:r w:rsidR="00033BCA" w:rsidRPr="003C5180">
        <w:rPr>
          <w:lang w:eastAsia="en-GB"/>
        </w:rPr>
        <w:t>self-monitoring form</w:t>
      </w:r>
      <w:r w:rsidR="00A55B94" w:rsidRPr="003C5180">
        <w:rPr>
          <w:lang w:eastAsia="en-GB"/>
        </w:rPr>
        <w:t>(s)</w:t>
      </w:r>
      <w:r w:rsidRPr="003C5180">
        <w:rPr>
          <w:lang w:eastAsia="en-GB"/>
        </w:rPr>
        <w:t xml:space="preserve"> and </w:t>
      </w:r>
      <w:r w:rsidR="00A55B94" w:rsidRPr="003C5180">
        <w:rPr>
          <w:lang w:eastAsia="en-GB"/>
        </w:rPr>
        <w:t xml:space="preserve">must </w:t>
      </w:r>
      <w:r w:rsidRPr="003C5180">
        <w:rPr>
          <w:lang w:eastAsia="en-GB"/>
        </w:rPr>
        <w:t xml:space="preserve">return the form to the </w:t>
      </w:r>
      <w:r w:rsidR="00CC4734">
        <w:rPr>
          <w:lang w:eastAsia="en-GB"/>
        </w:rPr>
        <w:t>S</w:t>
      </w:r>
      <w:r w:rsidR="00033BCA" w:rsidRPr="003C5180">
        <w:rPr>
          <w:lang w:eastAsia="en-GB"/>
        </w:rPr>
        <w:t>ponsor</w:t>
      </w:r>
      <w:r w:rsidRPr="003C5180">
        <w:rPr>
          <w:lang w:eastAsia="en-GB"/>
        </w:rPr>
        <w:t xml:space="preserve"> for review</w:t>
      </w:r>
      <w:r w:rsidR="00A55B94" w:rsidRPr="003C5180">
        <w:rPr>
          <w:lang w:eastAsia="en-GB"/>
        </w:rPr>
        <w:t xml:space="preserve"> and action</w:t>
      </w:r>
      <w:r w:rsidRPr="003C5180">
        <w:rPr>
          <w:lang w:eastAsia="en-GB"/>
        </w:rPr>
        <w:t>.</w:t>
      </w:r>
      <w:r w:rsidR="007A5DA1" w:rsidRPr="003C5180">
        <w:rPr>
          <w:lang w:eastAsia="en-GB"/>
        </w:rPr>
        <w:t xml:space="preserve"> Failure </w:t>
      </w:r>
      <w:r w:rsidR="00A55B94" w:rsidRPr="003C5180">
        <w:rPr>
          <w:lang w:eastAsia="en-GB"/>
        </w:rPr>
        <w:t xml:space="preserve">for any PI </w:t>
      </w:r>
      <w:r w:rsidR="007A5DA1" w:rsidRPr="003C5180">
        <w:rPr>
          <w:lang w:eastAsia="en-GB"/>
        </w:rPr>
        <w:t xml:space="preserve">to comply </w:t>
      </w:r>
      <w:r w:rsidR="00A55B94" w:rsidRPr="003C5180">
        <w:rPr>
          <w:lang w:eastAsia="en-GB"/>
        </w:rPr>
        <w:t xml:space="preserve">with </w:t>
      </w:r>
      <w:r w:rsidR="00960BDE">
        <w:rPr>
          <w:lang w:eastAsia="en-GB"/>
        </w:rPr>
        <w:t xml:space="preserve">reasonable </w:t>
      </w:r>
      <w:r w:rsidR="00A55B94" w:rsidRPr="003C5180">
        <w:rPr>
          <w:lang w:eastAsia="en-GB"/>
        </w:rPr>
        <w:t xml:space="preserve">requests on behalf of the </w:t>
      </w:r>
      <w:r w:rsidR="00CC4734">
        <w:rPr>
          <w:lang w:eastAsia="en-GB"/>
        </w:rPr>
        <w:t>S</w:t>
      </w:r>
      <w:r w:rsidR="00A55B94" w:rsidRPr="003C5180">
        <w:rPr>
          <w:lang w:eastAsia="en-GB"/>
        </w:rPr>
        <w:t xml:space="preserve">ponsor </w:t>
      </w:r>
      <w:r w:rsidR="00033BCA" w:rsidRPr="003C5180">
        <w:rPr>
          <w:lang w:eastAsia="en-GB"/>
        </w:rPr>
        <w:t>may</w:t>
      </w:r>
      <w:r w:rsidR="007A5DA1" w:rsidRPr="003C5180">
        <w:rPr>
          <w:lang w:eastAsia="en-GB"/>
        </w:rPr>
        <w:t xml:space="preserve"> be escalated </w:t>
      </w:r>
      <w:r w:rsidR="00E10391" w:rsidRPr="003C5180">
        <w:rPr>
          <w:lang w:eastAsia="en-GB"/>
        </w:rPr>
        <w:t xml:space="preserve">in accordance with JREOSOP0031 Escalation </w:t>
      </w:r>
      <w:r w:rsidR="00033BCA" w:rsidRPr="003C5180">
        <w:rPr>
          <w:lang w:eastAsia="en-GB"/>
        </w:rPr>
        <w:t xml:space="preserve">Procedure; </w:t>
      </w:r>
      <w:r w:rsidR="007A5DA1" w:rsidRPr="003C5180">
        <w:rPr>
          <w:lang w:eastAsia="en-GB"/>
        </w:rPr>
        <w:t xml:space="preserve">the site </w:t>
      </w:r>
      <w:r w:rsidR="00E10391" w:rsidRPr="003C5180">
        <w:rPr>
          <w:lang w:eastAsia="en-GB"/>
        </w:rPr>
        <w:t xml:space="preserve">may </w:t>
      </w:r>
      <w:r w:rsidR="00A55B94" w:rsidRPr="003C5180">
        <w:rPr>
          <w:lang w:eastAsia="en-GB"/>
        </w:rPr>
        <w:t xml:space="preserve">also </w:t>
      </w:r>
      <w:r w:rsidR="007A5DA1" w:rsidRPr="003C5180">
        <w:rPr>
          <w:lang w:eastAsia="en-GB"/>
        </w:rPr>
        <w:t xml:space="preserve">be </w:t>
      </w:r>
      <w:r w:rsidR="00E10391" w:rsidRPr="003C5180">
        <w:rPr>
          <w:lang w:eastAsia="en-GB"/>
        </w:rPr>
        <w:t xml:space="preserve">selected for </w:t>
      </w:r>
      <w:r w:rsidR="00A55B94" w:rsidRPr="003C5180">
        <w:rPr>
          <w:lang w:eastAsia="en-GB"/>
        </w:rPr>
        <w:t xml:space="preserve">a GCP </w:t>
      </w:r>
      <w:r w:rsidR="007A5DA1" w:rsidRPr="003C5180">
        <w:rPr>
          <w:lang w:eastAsia="en-GB"/>
        </w:rPr>
        <w:t>audit.</w:t>
      </w:r>
      <w:r w:rsidRPr="003C5180">
        <w:rPr>
          <w:lang w:eastAsia="en-GB"/>
        </w:rPr>
        <w:t xml:space="preserve"> </w:t>
      </w:r>
    </w:p>
    <w:p w14:paraId="55E14AD8" w14:textId="77777777" w:rsidR="004571CC" w:rsidRPr="003C5180" w:rsidRDefault="004571CC" w:rsidP="00B1288B">
      <w:pPr>
        <w:jc w:val="both"/>
        <w:rPr>
          <w:lang w:eastAsia="en-GB"/>
        </w:rPr>
      </w:pPr>
      <w:r w:rsidRPr="003C5180">
        <w:rPr>
          <w:lang w:eastAsia="en-GB"/>
        </w:rPr>
        <w:t xml:space="preserve">It is the </w:t>
      </w:r>
      <w:r w:rsidR="00CC4734">
        <w:rPr>
          <w:lang w:eastAsia="en-GB"/>
        </w:rPr>
        <w:t>S</w:t>
      </w:r>
      <w:r w:rsidR="007A5DA1" w:rsidRPr="003C5180">
        <w:rPr>
          <w:lang w:eastAsia="en-GB"/>
        </w:rPr>
        <w:t>ponsor</w:t>
      </w:r>
      <w:r w:rsidRPr="003C5180">
        <w:rPr>
          <w:lang w:eastAsia="en-GB"/>
        </w:rPr>
        <w:t>’s responsibility to ensure that any findings identified in a</w:t>
      </w:r>
      <w:r w:rsidR="00033BCA" w:rsidRPr="003C5180">
        <w:rPr>
          <w:lang w:eastAsia="en-GB"/>
        </w:rPr>
        <w:t>ny</w:t>
      </w:r>
      <w:r w:rsidRPr="003C5180">
        <w:rPr>
          <w:lang w:eastAsia="en-GB"/>
        </w:rPr>
        <w:t xml:space="preserve"> monitoring report are actioned </w:t>
      </w:r>
      <w:r w:rsidR="00E10391" w:rsidRPr="003C5180">
        <w:rPr>
          <w:lang w:eastAsia="en-GB"/>
        </w:rPr>
        <w:t xml:space="preserve">appropriately and </w:t>
      </w:r>
      <w:r w:rsidRPr="003C5180">
        <w:rPr>
          <w:lang w:eastAsia="en-GB"/>
        </w:rPr>
        <w:t xml:space="preserve">in a timely manner and </w:t>
      </w:r>
      <w:r w:rsidR="00E10391" w:rsidRPr="003C5180">
        <w:rPr>
          <w:lang w:eastAsia="en-GB"/>
        </w:rPr>
        <w:t xml:space="preserve">that </w:t>
      </w:r>
      <w:r w:rsidRPr="003C5180">
        <w:rPr>
          <w:lang w:eastAsia="en-GB"/>
        </w:rPr>
        <w:t xml:space="preserve">any violations of GCP or the protocol </w:t>
      </w:r>
      <w:r w:rsidR="00960BDE">
        <w:rPr>
          <w:lang w:eastAsia="en-GB"/>
        </w:rPr>
        <w:t>are</w:t>
      </w:r>
      <w:r w:rsidR="007A5DA1" w:rsidRPr="003C5180">
        <w:rPr>
          <w:lang w:eastAsia="en-GB"/>
        </w:rPr>
        <w:t xml:space="preserve"> </w:t>
      </w:r>
      <w:r w:rsidRPr="003C5180">
        <w:rPr>
          <w:lang w:eastAsia="en-GB"/>
        </w:rPr>
        <w:t xml:space="preserve">reported to the </w:t>
      </w:r>
      <w:r w:rsidR="007A5DA1" w:rsidRPr="003C5180">
        <w:rPr>
          <w:lang w:eastAsia="en-GB"/>
        </w:rPr>
        <w:t>CI &amp;</w:t>
      </w:r>
      <w:r w:rsidR="00E10391" w:rsidRPr="003C5180">
        <w:rPr>
          <w:lang w:eastAsia="en-GB"/>
        </w:rPr>
        <w:t xml:space="preserve"> </w:t>
      </w:r>
      <w:r w:rsidR="00CC4734">
        <w:rPr>
          <w:lang w:eastAsia="en-GB"/>
        </w:rPr>
        <w:t>S</w:t>
      </w:r>
      <w:r w:rsidR="00033BCA" w:rsidRPr="003C5180">
        <w:rPr>
          <w:lang w:eastAsia="en-GB"/>
        </w:rPr>
        <w:t>ponsor representative. Any serious breach will be</w:t>
      </w:r>
      <w:r w:rsidR="00E10391" w:rsidRPr="003C5180">
        <w:rPr>
          <w:lang w:eastAsia="en-GB"/>
        </w:rPr>
        <w:t xml:space="preserve"> handled according to JREOSOP00032 Serious Breach Reporting</w:t>
      </w:r>
    </w:p>
    <w:p w14:paraId="3F0127B8" w14:textId="77777777" w:rsidR="004571CC" w:rsidRPr="003C5180" w:rsidRDefault="004571CC" w:rsidP="00B1288B">
      <w:pPr>
        <w:jc w:val="both"/>
        <w:rPr>
          <w:lang w:eastAsia="en-GB"/>
        </w:rPr>
      </w:pPr>
      <w:r w:rsidRPr="003C5180">
        <w:rPr>
          <w:lang w:eastAsia="en-GB"/>
        </w:rPr>
        <w:t xml:space="preserve">Any urgent safety measures at either the CI or a PI site must be reported by that site Investigator within 3 days, as per UK Regulations.  </w:t>
      </w:r>
    </w:p>
    <w:p w14:paraId="2A5DA339" w14:textId="77777777" w:rsidR="004571CC" w:rsidRPr="003C5180" w:rsidRDefault="004571CC" w:rsidP="00B1288B">
      <w:pPr>
        <w:jc w:val="both"/>
        <w:rPr>
          <w:lang w:eastAsia="en-GB"/>
        </w:rPr>
      </w:pPr>
      <w:r w:rsidRPr="003C5180">
        <w:rPr>
          <w:lang w:eastAsia="en-GB"/>
        </w:rPr>
        <w:t xml:space="preserve">The CI will be provided with a copy of the study monitoring </w:t>
      </w:r>
      <w:r w:rsidR="00A55B94" w:rsidRPr="003C5180">
        <w:rPr>
          <w:lang w:eastAsia="en-GB"/>
        </w:rPr>
        <w:t>plan</w:t>
      </w:r>
      <w:r w:rsidRPr="003C5180">
        <w:rPr>
          <w:lang w:eastAsia="en-GB"/>
        </w:rPr>
        <w:t xml:space="preserve"> during the Trial Initiation monitoring visit. </w:t>
      </w:r>
    </w:p>
    <w:p w14:paraId="654B9254" w14:textId="77777777" w:rsidR="004571CC" w:rsidRPr="003C5180" w:rsidRDefault="004571CC" w:rsidP="00586EF2">
      <w:pPr>
        <w:pStyle w:val="Heading1"/>
        <w:numPr>
          <w:ilvl w:val="0"/>
          <w:numId w:val="26"/>
        </w:numPr>
        <w:rPr>
          <w:rFonts w:ascii="Calibri" w:hAnsi="Calibri"/>
          <w:szCs w:val="28"/>
        </w:rPr>
      </w:pPr>
      <w:bookmarkStart w:id="178" w:name="_Toc261532734"/>
      <w:bookmarkStart w:id="179" w:name="_Toc470102525"/>
      <w:r w:rsidRPr="003C5180">
        <w:rPr>
          <w:rFonts w:ascii="Calibri" w:hAnsi="Calibri"/>
          <w:szCs w:val="28"/>
        </w:rPr>
        <w:t>Finance</w:t>
      </w:r>
      <w:bookmarkEnd w:id="178"/>
      <w:bookmarkEnd w:id="179"/>
    </w:p>
    <w:p w14:paraId="1F398B71" w14:textId="77777777" w:rsidR="0002675A" w:rsidRPr="003C5180" w:rsidRDefault="0002675A" w:rsidP="0002675A">
      <w:pPr>
        <w:rPr>
          <w:lang w:eastAsia="en-GB"/>
        </w:rPr>
      </w:pPr>
      <w:r w:rsidRPr="003C5180">
        <w:rPr>
          <w:lang w:eastAsia="en-GB"/>
        </w:rPr>
        <w:t xml:space="preserve">This study is funded by Meningitis Now and GSK. </w:t>
      </w:r>
    </w:p>
    <w:p w14:paraId="7DA7293E" w14:textId="77777777" w:rsidR="004571CC" w:rsidRPr="003C5180" w:rsidRDefault="00A3337E" w:rsidP="00586EF2">
      <w:pPr>
        <w:pStyle w:val="Heading1"/>
        <w:numPr>
          <w:ilvl w:val="0"/>
          <w:numId w:val="26"/>
        </w:numPr>
        <w:rPr>
          <w:rFonts w:ascii="Calibri" w:hAnsi="Calibri"/>
          <w:szCs w:val="28"/>
        </w:rPr>
      </w:pPr>
      <w:bookmarkStart w:id="180" w:name="_Toc261532735"/>
      <w:bookmarkStart w:id="181" w:name="_Toc470102526"/>
      <w:r w:rsidRPr="003C5180">
        <w:rPr>
          <w:rFonts w:ascii="Calibri" w:hAnsi="Calibri"/>
          <w:szCs w:val="28"/>
        </w:rPr>
        <w:t>Insurance and i</w:t>
      </w:r>
      <w:r w:rsidR="004571CC" w:rsidRPr="003C5180">
        <w:rPr>
          <w:rFonts w:ascii="Calibri" w:hAnsi="Calibri"/>
          <w:szCs w:val="28"/>
        </w:rPr>
        <w:t>ndemnity</w:t>
      </w:r>
      <w:bookmarkEnd w:id="180"/>
      <w:bookmarkEnd w:id="181"/>
    </w:p>
    <w:p w14:paraId="10E61C66" w14:textId="77777777" w:rsidR="00F652F0" w:rsidRPr="003C5180" w:rsidRDefault="004571CC" w:rsidP="00B1288B">
      <w:pPr>
        <w:jc w:val="both"/>
        <w:rPr>
          <w:lang w:eastAsia="en-GB"/>
        </w:rPr>
      </w:pPr>
      <w:r w:rsidRPr="003C5180">
        <w:rPr>
          <w:lang w:eastAsia="en-GB"/>
        </w:rPr>
        <w:t xml:space="preserve">St George’s University of London holds insurance to cover participants for injury caused by their participation in the clinical trial. Participants may be able to claim compensation if they can prove that </w:t>
      </w:r>
      <w:r w:rsidR="0064273A">
        <w:rPr>
          <w:lang w:eastAsia="en-GB"/>
        </w:rPr>
        <w:t xml:space="preserve">SGUL </w:t>
      </w:r>
      <w:r w:rsidRPr="003C5180">
        <w:rPr>
          <w:lang w:eastAsia="en-GB"/>
        </w:rPr>
        <w:t>has been negligent.</w:t>
      </w:r>
      <w:r w:rsidR="00F652F0" w:rsidRPr="003C5180">
        <w:rPr>
          <w:lang w:eastAsia="en-GB"/>
        </w:rPr>
        <w:t xml:space="preserve"> This includes </w:t>
      </w:r>
      <w:r w:rsidR="00EB3394" w:rsidRPr="003C5180">
        <w:rPr>
          <w:lang w:eastAsia="en-GB"/>
        </w:rPr>
        <w:t>negligence</w:t>
      </w:r>
      <w:r w:rsidR="00F652F0" w:rsidRPr="003C5180">
        <w:rPr>
          <w:lang w:eastAsia="en-GB"/>
        </w:rPr>
        <w:t xml:space="preserve"> in the writing of the protocol, or </w:t>
      </w:r>
      <w:r w:rsidR="00EB3394" w:rsidRPr="003C5180">
        <w:rPr>
          <w:lang w:eastAsia="en-GB"/>
        </w:rPr>
        <w:t xml:space="preserve">selection of trial resources. </w:t>
      </w:r>
    </w:p>
    <w:p w14:paraId="66DC25AE" w14:textId="77777777" w:rsidR="00F652F0" w:rsidRPr="003C5180" w:rsidRDefault="00F652F0" w:rsidP="00F652F0">
      <w:pPr>
        <w:jc w:val="both"/>
        <w:rPr>
          <w:lang w:eastAsia="en-GB"/>
        </w:rPr>
      </w:pPr>
      <w:r w:rsidRPr="003C5180">
        <w:rPr>
          <w:lang w:eastAsia="en-GB"/>
        </w:rPr>
        <w:t>Where the T</w:t>
      </w:r>
      <w:r w:rsidR="004571CC" w:rsidRPr="003C5180">
        <w:rPr>
          <w:lang w:eastAsia="en-GB"/>
        </w:rPr>
        <w:t xml:space="preserve">rial is conducted in </w:t>
      </w:r>
      <w:r w:rsidRPr="003C5180">
        <w:rPr>
          <w:lang w:eastAsia="en-GB"/>
        </w:rPr>
        <w:t xml:space="preserve">a </w:t>
      </w:r>
      <w:r w:rsidR="004571CC" w:rsidRPr="003C5180">
        <w:rPr>
          <w:lang w:eastAsia="en-GB"/>
        </w:rPr>
        <w:t>hospital</w:t>
      </w:r>
      <w:r w:rsidRPr="003C5180">
        <w:rPr>
          <w:lang w:eastAsia="en-GB"/>
        </w:rPr>
        <w:t>,</w:t>
      </w:r>
      <w:r w:rsidR="004571CC" w:rsidRPr="003C5180">
        <w:rPr>
          <w:lang w:eastAsia="en-GB"/>
        </w:rPr>
        <w:t xml:space="preserve"> the hospital </w:t>
      </w:r>
      <w:r w:rsidRPr="003C5180">
        <w:rPr>
          <w:lang w:eastAsia="en-GB"/>
        </w:rPr>
        <w:t xml:space="preserve">has </w:t>
      </w:r>
      <w:r w:rsidR="004571CC" w:rsidRPr="003C5180">
        <w:rPr>
          <w:lang w:eastAsia="en-GB"/>
        </w:rPr>
        <w:t>a duty of care to participant</w:t>
      </w:r>
      <w:r w:rsidRPr="003C5180">
        <w:rPr>
          <w:lang w:eastAsia="en-GB"/>
        </w:rPr>
        <w:t>s</w:t>
      </w:r>
      <w:r w:rsidR="004571CC" w:rsidRPr="003C5180">
        <w:rPr>
          <w:lang w:eastAsia="en-GB"/>
        </w:rPr>
        <w:t xml:space="preserve">. St George’s University of London will not accept liability for any breach in the hospital’s duty of care, or any negligence on the part of hospital employees.  </w:t>
      </w:r>
      <w:r w:rsidRPr="003C5180">
        <w:rPr>
          <w:lang w:eastAsia="en-GB"/>
        </w:rPr>
        <w:t>Hospitals selected to participate in this clinical trial shall provide clinical negligence insurance cover for harm caused by their employees and a copy of the relevant insurance policy or summary shall be provided to St George’s University of London, upon request.</w:t>
      </w:r>
    </w:p>
    <w:p w14:paraId="269E7FFF" w14:textId="77777777" w:rsidR="00A31A7B" w:rsidRPr="003C5180" w:rsidRDefault="00F652F0" w:rsidP="00B1288B">
      <w:pPr>
        <w:jc w:val="both"/>
        <w:rPr>
          <w:lang w:eastAsia="en-GB"/>
        </w:rPr>
      </w:pPr>
      <w:r w:rsidRPr="003C5180">
        <w:rPr>
          <w:lang w:eastAsia="en-GB"/>
        </w:rPr>
        <w:t>P</w:t>
      </w:r>
      <w:r w:rsidR="004571CC" w:rsidRPr="003C5180">
        <w:rPr>
          <w:lang w:eastAsia="en-GB"/>
        </w:rPr>
        <w:t xml:space="preserve">articipants may be able to claim compensation for injury caused by participation in this </w:t>
      </w:r>
      <w:r w:rsidRPr="003C5180">
        <w:rPr>
          <w:lang w:eastAsia="en-GB"/>
        </w:rPr>
        <w:t>T</w:t>
      </w:r>
      <w:r w:rsidR="004571CC" w:rsidRPr="003C5180">
        <w:rPr>
          <w:lang w:eastAsia="en-GB"/>
        </w:rPr>
        <w:t xml:space="preserve">rial without the need to prove negligence on the part of St George’s University of London or another party. </w:t>
      </w:r>
    </w:p>
    <w:p w14:paraId="29A10FD0" w14:textId="77777777" w:rsidR="00A31A7B" w:rsidRPr="003C5180" w:rsidRDefault="00A31A7B" w:rsidP="00B1288B">
      <w:pPr>
        <w:jc w:val="both"/>
        <w:rPr>
          <w:lang w:eastAsia="en-GB"/>
        </w:rPr>
      </w:pPr>
      <w:r w:rsidRPr="003C5180">
        <w:rPr>
          <w:lang w:eastAsia="en-GB"/>
        </w:rPr>
        <w:t xml:space="preserve">If a participant indicates that they wish to make a claim for compensation, this needs to be brought to the attention of St George’s University of London immediately.  </w:t>
      </w:r>
    </w:p>
    <w:p w14:paraId="22E85E8E" w14:textId="77777777" w:rsidR="00A31A7B" w:rsidRPr="003C5180" w:rsidRDefault="00A31A7B" w:rsidP="00B1288B">
      <w:pPr>
        <w:jc w:val="both"/>
        <w:rPr>
          <w:lang w:eastAsia="en-GB"/>
        </w:rPr>
      </w:pPr>
      <w:r w:rsidRPr="003C5180">
        <w:rPr>
          <w:lang w:eastAsia="en-GB"/>
        </w:rPr>
        <w:t xml:space="preserve">Failure to alert St George’s University of London without delay and to comply with requests for information by the </w:t>
      </w:r>
      <w:r w:rsidR="00960BDE">
        <w:rPr>
          <w:lang w:eastAsia="en-GB"/>
        </w:rPr>
        <w:t>S</w:t>
      </w:r>
      <w:r w:rsidRPr="003C5180">
        <w:rPr>
          <w:lang w:eastAsia="en-GB"/>
        </w:rPr>
        <w:t xml:space="preserve">ponsor or any designated Agents may lead to a lack of insurance cover for the incident.  </w:t>
      </w:r>
    </w:p>
    <w:p w14:paraId="478025B5" w14:textId="77777777" w:rsidR="00FE4FC8" w:rsidRPr="003C5180" w:rsidRDefault="00FE4FC8" w:rsidP="00B1288B">
      <w:pPr>
        <w:jc w:val="both"/>
        <w:rPr>
          <w:lang w:eastAsia="en-GB"/>
        </w:rPr>
      </w:pPr>
      <w:r w:rsidRPr="003C5180">
        <w:rPr>
          <w:lang w:eastAsia="en-GB"/>
        </w:rPr>
        <w:t xml:space="preserve">NHS bodies are liable for clinical negligence and other negligent harm to individuals covered by their duty of care. NHS Institutions employing researchers are liable for negligent harm caused by the design of studies they initiate. </w:t>
      </w:r>
    </w:p>
    <w:p w14:paraId="1A336C78" w14:textId="77777777" w:rsidR="00A31A7B" w:rsidRPr="003C5180" w:rsidRDefault="00A31A7B" w:rsidP="00586EF2">
      <w:pPr>
        <w:pStyle w:val="Heading1"/>
        <w:numPr>
          <w:ilvl w:val="0"/>
          <w:numId w:val="26"/>
        </w:numPr>
        <w:rPr>
          <w:rFonts w:ascii="Calibri" w:hAnsi="Calibri"/>
          <w:szCs w:val="28"/>
        </w:rPr>
      </w:pPr>
      <w:bookmarkStart w:id="182" w:name="_Toc470102527"/>
      <w:bookmarkStart w:id="183" w:name="_Toc261532736"/>
      <w:r w:rsidRPr="003C5180">
        <w:rPr>
          <w:rFonts w:ascii="Calibri" w:hAnsi="Calibri"/>
          <w:szCs w:val="28"/>
        </w:rPr>
        <w:t>IP and development policy</w:t>
      </w:r>
      <w:bookmarkEnd w:id="182"/>
      <w:r w:rsidRPr="003C5180">
        <w:rPr>
          <w:rFonts w:ascii="Calibri" w:hAnsi="Calibri"/>
          <w:szCs w:val="28"/>
        </w:rPr>
        <w:t xml:space="preserve"> </w:t>
      </w:r>
    </w:p>
    <w:p w14:paraId="41D4F7A8" w14:textId="77777777" w:rsidR="00CA7BBF" w:rsidRPr="003C5180" w:rsidRDefault="009159D0" w:rsidP="009159D0">
      <w:pPr>
        <w:rPr>
          <w:lang w:eastAsia="en-GB"/>
        </w:rPr>
      </w:pPr>
      <w:r w:rsidRPr="003C5180">
        <w:rPr>
          <w:lang w:eastAsia="en-GB"/>
        </w:rPr>
        <w:t>Unless otherwise specified in agreements, the following guidelines shall apply: All Intellectual Property Rights and Know How</w:t>
      </w:r>
      <w:r w:rsidR="00CA7BBF" w:rsidRPr="003C5180">
        <w:rPr>
          <w:lang w:eastAsia="en-GB"/>
        </w:rPr>
        <w:t xml:space="preserve"> (IP) related to the Protocol and the Trial </w:t>
      </w:r>
      <w:r w:rsidRPr="003C5180">
        <w:rPr>
          <w:lang w:eastAsia="en-GB"/>
        </w:rPr>
        <w:t>are and shall remain the property of the Sponsor</w:t>
      </w:r>
      <w:r w:rsidR="00CA7BBF" w:rsidRPr="003C5180">
        <w:rPr>
          <w:lang w:eastAsia="en-GB"/>
        </w:rPr>
        <w:t xml:space="preserve"> </w:t>
      </w:r>
      <w:r w:rsidRPr="003C5180">
        <w:rPr>
          <w:lang w:eastAsia="en-GB"/>
        </w:rPr>
        <w:t xml:space="preserve">excluding </w:t>
      </w:r>
    </w:p>
    <w:p w14:paraId="222DCD7C" w14:textId="77777777" w:rsidR="009159D0" w:rsidRPr="003C5180" w:rsidRDefault="00CA7BBF" w:rsidP="009159D0">
      <w:pPr>
        <w:rPr>
          <w:lang w:eastAsia="en-GB"/>
        </w:rPr>
      </w:pPr>
      <w:r w:rsidRPr="003C5180">
        <w:rPr>
          <w:lang w:eastAsia="en-GB"/>
        </w:rPr>
        <w:t xml:space="preserve">1) pre-existing IP related to </w:t>
      </w:r>
      <w:r w:rsidR="009159D0" w:rsidRPr="003C5180">
        <w:rPr>
          <w:lang w:eastAsia="en-GB"/>
        </w:rPr>
        <w:t xml:space="preserve">clinical procedures of </w:t>
      </w:r>
      <w:r w:rsidRPr="003C5180">
        <w:rPr>
          <w:lang w:eastAsia="en-GB"/>
        </w:rPr>
        <w:t>any Hospital</w:t>
      </w:r>
      <w:r w:rsidR="009159D0" w:rsidRPr="003C5180">
        <w:rPr>
          <w:lang w:eastAsia="en-GB"/>
        </w:rPr>
        <w:t>.</w:t>
      </w:r>
    </w:p>
    <w:p w14:paraId="5230E5A3" w14:textId="77777777" w:rsidR="00CA7BBF" w:rsidRPr="003C5180" w:rsidRDefault="00CA7BBF" w:rsidP="00CA7BBF">
      <w:pPr>
        <w:rPr>
          <w:lang w:eastAsia="en-GB"/>
        </w:rPr>
      </w:pPr>
      <w:r w:rsidRPr="003C5180">
        <w:rPr>
          <w:lang w:eastAsia="en-GB"/>
        </w:rPr>
        <w:t>2) pre-existing IP related to analytical procedures of any external laboratory.</w:t>
      </w:r>
    </w:p>
    <w:p w14:paraId="38E68504" w14:textId="77777777" w:rsidR="009159D0" w:rsidRPr="003C5180" w:rsidRDefault="00CA7BBF" w:rsidP="009159D0">
      <w:pPr>
        <w:rPr>
          <w:lang w:eastAsia="en-GB"/>
        </w:rPr>
      </w:pPr>
      <w:r w:rsidRPr="003C5180">
        <w:rPr>
          <w:lang w:eastAsia="en-GB"/>
        </w:rPr>
        <w:t xml:space="preserve">All contributors shall </w:t>
      </w:r>
      <w:r w:rsidR="009159D0" w:rsidRPr="003C5180">
        <w:rPr>
          <w:lang w:eastAsia="en-GB"/>
        </w:rPr>
        <w:t>assign</w:t>
      </w:r>
      <w:r w:rsidRPr="003C5180">
        <w:rPr>
          <w:lang w:eastAsia="en-GB"/>
        </w:rPr>
        <w:t xml:space="preserve"> their </w:t>
      </w:r>
      <w:r w:rsidR="009159D0" w:rsidRPr="003C5180">
        <w:rPr>
          <w:lang w:eastAsia="en-GB"/>
        </w:rPr>
        <w:t xml:space="preserve">rights in relation to all Intellectual Property Rights and in all Know How, </w:t>
      </w:r>
      <w:r w:rsidRPr="003C5180">
        <w:rPr>
          <w:lang w:eastAsia="en-GB"/>
        </w:rPr>
        <w:t xml:space="preserve">not excluded </w:t>
      </w:r>
      <w:r w:rsidR="009159D0" w:rsidRPr="003C5180">
        <w:rPr>
          <w:lang w:eastAsia="en-GB"/>
        </w:rPr>
        <w:t>above to the Sponsor and at the request and expense of the Sponsor, shall execute</w:t>
      </w:r>
      <w:r w:rsidRPr="003C5180">
        <w:rPr>
          <w:lang w:eastAsia="en-GB"/>
        </w:rPr>
        <w:t xml:space="preserve"> </w:t>
      </w:r>
      <w:r w:rsidR="009159D0" w:rsidRPr="003C5180">
        <w:rPr>
          <w:lang w:eastAsia="en-GB"/>
        </w:rPr>
        <w:t xml:space="preserve">all such documents and do all such other acts as the Sponsor may reasonably require in order to vest fully and effectively all such Intellectual Property Rights and Know How in the Sponsor or its nominee. </w:t>
      </w:r>
    </w:p>
    <w:p w14:paraId="7E89CC62" w14:textId="77777777" w:rsidR="009159D0" w:rsidRPr="003C5180" w:rsidRDefault="00C83562" w:rsidP="009159D0">
      <w:pPr>
        <w:rPr>
          <w:lang w:eastAsia="en-GB"/>
        </w:rPr>
      </w:pPr>
      <w:r w:rsidRPr="003C5180">
        <w:rPr>
          <w:lang w:eastAsia="en-GB"/>
        </w:rPr>
        <w:t xml:space="preserve">All contributors </w:t>
      </w:r>
      <w:r w:rsidR="009159D0" w:rsidRPr="003C5180">
        <w:rPr>
          <w:lang w:eastAsia="en-GB"/>
        </w:rPr>
        <w:t xml:space="preserve">shall promptly disclose to the Sponsor any Know How generated pursuant to this </w:t>
      </w:r>
      <w:r w:rsidR="00760D3D" w:rsidRPr="003C5180">
        <w:rPr>
          <w:lang w:eastAsia="en-GB"/>
        </w:rPr>
        <w:t>Protocol</w:t>
      </w:r>
      <w:r w:rsidR="00CA7BBF" w:rsidRPr="003C5180">
        <w:rPr>
          <w:lang w:eastAsia="en-GB"/>
        </w:rPr>
        <w:t xml:space="preserve"> </w:t>
      </w:r>
      <w:r w:rsidR="009159D0" w:rsidRPr="003C5180">
        <w:rPr>
          <w:lang w:eastAsia="en-GB"/>
        </w:rPr>
        <w:t xml:space="preserve">and </w:t>
      </w:r>
      <w:r w:rsidR="00CA7BBF" w:rsidRPr="003C5180">
        <w:rPr>
          <w:lang w:eastAsia="en-GB"/>
        </w:rPr>
        <w:t xml:space="preserve">not excluded </w:t>
      </w:r>
      <w:r w:rsidR="009159D0" w:rsidRPr="003C5180">
        <w:rPr>
          <w:lang w:eastAsia="en-GB"/>
        </w:rPr>
        <w:t xml:space="preserve">above and undertake </w:t>
      </w:r>
      <w:r w:rsidR="00CA7BBF" w:rsidRPr="003C5180">
        <w:rPr>
          <w:lang w:eastAsia="en-GB"/>
        </w:rPr>
        <w:t xml:space="preserve">treat such </w:t>
      </w:r>
      <w:r w:rsidR="009159D0" w:rsidRPr="003C5180">
        <w:rPr>
          <w:lang w:eastAsia="en-GB"/>
        </w:rPr>
        <w:t xml:space="preserve">Know How </w:t>
      </w:r>
      <w:r w:rsidR="00CA7BBF" w:rsidRPr="003C5180">
        <w:rPr>
          <w:lang w:eastAsia="en-GB"/>
        </w:rPr>
        <w:t>as confidential information jointly owned between it and the Sponsor</w:t>
      </w:r>
      <w:r w:rsidR="009159D0" w:rsidRPr="003C5180">
        <w:rPr>
          <w:lang w:eastAsia="en-GB"/>
        </w:rPr>
        <w:t xml:space="preserve"> </w:t>
      </w:r>
    </w:p>
    <w:p w14:paraId="0772B4F4" w14:textId="77777777" w:rsidR="009159D0" w:rsidRDefault="009159D0" w:rsidP="009159D0">
      <w:pPr>
        <w:rPr>
          <w:lang w:eastAsia="en-GB"/>
        </w:rPr>
      </w:pPr>
      <w:r w:rsidRPr="003C5180">
        <w:rPr>
          <w:lang w:eastAsia="en-GB"/>
        </w:rPr>
        <w:t xml:space="preserve">Nothing in this </w:t>
      </w:r>
      <w:r w:rsidR="00CA7BBF" w:rsidRPr="003C5180">
        <w:rPr>
          <w:lang w:eastAsia="en-GB"/>
        </w:rPr>
        <w:t xml:space="preserve">section </w:t>
      </w:r>
      <w:r w:rsidRPr="003C5180">
        <w:rPr>
          <w:lang w:eastAsia="en-GB"/>
        </w:rPr>
        <w:t xml:space="preserve">shall be construed so as to prevent or hinder </w:t>
      </w:r>
      <w:r w:rsidR="00960BDE" w:rsidRPr="003C5180">
        <w:rPr>
          <w:lang w:eastAsia="en-GB"/>
        </w:rPr>
        <w:t>an</w:t>
      </w:r>
      <w:r w:rsidR="00960BDE">
        <w:rPr>
          <w:lang w:eastAsia="en-GB"/>
        </w:rPr>
        <w:t>y</w:t>
      </w:r>
      <w:r w:rsidR="00960BDE" w:rsidRPr="003C5180">
        <w:rPr>
          <w:lang w:eastAsia="en-GB"/>
        </w:rPr>
        <w:t xml:space="preserve"> </w:t>
      </w:r>
      <w:r w:rsidR="00CA7BBF" w:rsidRPr="003C5180">
        <w:rPr>
          <w:lang w:eastAsia="en-GB"/>
        </w:rPr>
        <w:t xml:space="preserve">medical </w:t>
      </w:r>
      <w:r w:rsidR="00760D3D" w:rsidRPr="003C5180">
        <w:rPr>
          <w:lang w:eastAsia="en-GB"/>
        </w:rPr>
        <w:t>professional</w:t>
      </w:r>
      <w:r w:rsidR="00CA7BBF" w:rsidRPr="003C5180">
        <w:rPr>
          <w:lang w:eastAsia="en-GB"/>
        </w:rPr>
        <w:t xml:space="preserve"> </w:t>
      </w:r>
      <w:r w:rsidRPr="003C5180">
        <w:rPr>
          <w:lang w:eastAsia="en-GB"/>
        </w:rPr>
        <w:t xml:space="preserve">from using Know How gained during the performance of the Trial in the furtherance of its normal business activities, to the extent such use does not result in the disclosure or misuse of </w:t>
      </w:r>
      <w:r w:rsidR="00CA7BBF" w:rsidRPr="003C5180">
        <w:rPr>
          <w:lang w:eastAsia="en-GB"/>
        </w:rPr>
        <w:t>C</w:t>
      </w:r>
      <w:r w:rsidRPr="003C5180">
        <w:rPr>
          <w:lang w:eastAsia="en-GB"/>
        </w:rPr>
        <w:t xml:space="preserve">onfidential Information or the infringement of any Intellectual Property Right of the Sponsor. </w:t>
      </w:r>
    </w:p>
    <w:p w14:paraId="4CB2C8BF" w14:textId="77777777" w:rsidR="00342442" w:rsidRDefault="00342442" w:rsidP="009159D0">
      <w:pPr>
        <w:rPr>
          <w:lang w:eastAsia="en-GB"/>
        </w:rPr>
      </w:pPr>
    </w:p>
    <w:p w14:paraId="78E2819C" w14:textId="77777777" w:rsidR="00342442" w:rsidRPr="003C5180" w:rsidRDefault="00342442" w:rsidP="009159D0">
      <w:pPr>
        <w:rPr>
          <w:lang w:eastAsia="en-GB"/>
        </w:rPr>
      </w:pPr>
    </w:p>
    <w:p w14:paraId="5694B71A" w14:textId="77777777" w:rsidR="004571CC" w:rsidRPr="003C5180" w:rsidRDefault="004571CC" w:rsidP="00586EF2">
      <w:pPr>
        <w:pStyle w:val="Heading1"/>
        <w:numPr>
          <w:ilvl w:val="0"/>
          <w:numId w:val="26"/>
        </w:numPr>
        <w:rPr>
          <w:rFonts w:ascii="Calibri" w:hAnsi="Calibri"/>
          <w:szCs w:val="28"/>
        </w:rPr>
      </w:pPr>
      <w:bookmarkStart w:id="184" w:name="_Toc470102528"/>
      <w:r w:rsidRPr="003C5180">
        <w:rPr>
          <w:rFonts w:ascii="Calibri" w:hAnsi="Calibri"/>
          <w:szCs w:val="28"/>
        </w:rPr>
        <w:t>Publication policy</w:t>
      </w:r>
      <w:bookmarkEnd w:id="183"/>
      <w:bookmarkEnd w:id="184"/>
    </w:p>
    <w:p w14:paraId="22413EB5" w14:textId="77777777" w:rsidR="00A41AF3" w:rsidRPr="003C5180" w:rsidRDefault="00A41AF3" w:rsidP="00AB3890">
      <w:pPr>
        <w:jc w:val="both"/>
        <w:rPr>
          <w:lang w:eastAsia="en-GB"/>
        </w:rPr>
      </w:pPr>
      <w:bookmarkStart w:id="185" w:name="_Toc261532737"/>
      <w:r w:rsidRPr="003C5180">
        <w:rPr>
          <w:lang w:eastAsia="en-GB"/>
        </w:rPr>
        <w:t xml:space="preserve">Publication: </w:t>
      </w:r>
      <w:r w:rsidR="00EB3394" w:rsidRPr="003C5180">
        <w:rPr>
          <w:lang w:eastAsia="en-GB"/>
        </w:rPr>
        <w:t>“</w:t>
      </w:r>
      <w:r w:rsidRPr="003C5180">
        <w:rPr>
          <w:lang w:eastAsia="en-GB"/>
        </w:rPr>
        <w:t>Any activity that discloses, outside of the circle of trial investigators, any final or interim data or results of the Trial, or any details of the Trial methodology that have not been made public by the Sponsor including, for example, presentations at symposia, national or regional professional meetings, publications in journals, theses or dissertations.</w:t>
      </w:r>
      <w:r w:rsidR="00EB3394" w:rsidRPr="003C5180">
        <w:rPr>
          <w:lang w:eastAsia="en-GB"/>
        </w:rPr>
        <w:t>”</w:t>
      </w:r>
    </w:p>
    <w:p w14:paraId="3C0F6C90" w14:textId="77777777" w:rsidR="00143EEE" w:rsidRPr="003C5180" w:rsidRDefault="00AB3890" w:rsidP="00143EEE">
      <w:pPr>
        <w:jc w:val="both"/>
        <w:rPr>
          <w:lang w:eastAsia="en-GB"/>
        </w:rPr>
      </w:pPr>
      <w:r w:rsidRPr="003C5180">
        <w:rPr>
          <w:lang w:eastAsia="en-GB"/>
        </w:rPr>
        <w:t xml:space="preserve">All scientific contributors to the Trial have a responsibility to ensure that results of scientific interest arising from Trial are appropriately published and disseminated. </w:t>
      </w:r>
      <w:r w:rsidR="00143EEE" w:rsidRPr="003C5180">
        <w:rPr>
          <w:lang w:eastAsia="en-GB"/>
        </w:rPr>
        <w:t xml:space="preserve">The Sponsor has a firm commitment to publish the results of the Trial in a transparent and unbiased manner without consideration for commercial objectives. </w:t>
      </w:r>
    </w:p>
    <w:p w14:paraId="36C49CBE" w14:textId="77777777" w:rsidR="00143EEE" w:rsidRPr="003C5180" w:rsidRDefault="00AB3890" w:rsidP="00143EEE">
      <w:pPr>
        <w:jc w:val="both"/>
        <w:rPr>
          <w:lang w:eastAsia="en-GB"/>
        </w:rPr>
      </w:pPr>
      <w:r w:rsidRPr="003C5180">
        <w:rPr>
          <w:lang w:eastAsia="en-GB"/>
        </w:rPr>
        <w:t xml:space="preserve">To maximise the impact and scientific validity of the Trial, data shall be consolidated over the duration of the trial, reviewed internally among all investigators and not be submitted for publication prematurely. </w:t>
      </w:r>
      <w:r w:rsidR="00143EEE" w:rsidRPr="003C5180">
        <w:rPr>
          <w:lang w:eastAsia="en-GB"/>
        </w:rPr>
        <w:t xml:space="preserve">Lead in any publications arising from the Trial shall lie with the Sponsor in the first instance. </w:t>
      </w:r>
    </w:p>
    <w:p w14:paraId="2FBDE2FE" w14:textId="77777777" w:rsidR="00A41AF3" w:rsidRPr="003C5180" w:rsidRDefault="00AB3890" w:rsidP="00DC258D">
      <w:pPr>
        <w:pStyle w:val="Heading2"/>
        <w:numPr>
          <w:ilvl w:val="1"/>
          <w:numId w:val="47"/>
        </w:numPr>
        <w:jc w:val="both"/>
        <w:rPr>
          <w:rFonts w:cs="Tahoma"/>
          <w:sz w:val="22"/>
          <w:szCs w:val="22"/>
        </w:rPr>
      </w:pPr>
      <w:bookmarkStart w:id="186" w:name="_Toc470102529"/>
      <w:r w:rsidRPr="003C5180">
        <w:rPr>
          <w:rFonts w:cs="Tahoma"/>
          <w:sz w:val="22"/>
          <w:szCs w:val="22"/>
        </w:rPr>
        <w:t>Before the official completion of the Trial,</w:t>
      </w:r>
      <w:bookmarkEnd w:id="186"/>
      <w:r w:rsidRPr="003C5180">
        <w:rPr>
          <w:rFonts w:cs="Tahoma"/>
          <w:sz w:val="22"/>
          <w:szCs w:val="22"/>
        </w:rPr>
        <w:t xml:space="preserve"> </w:t>
      </w:r>
    </w:p>
    <w:p w14:paraId="22B9E611" w14:textId="77777777" w:rsidR="00F652F0" w:rsidRPr="003C5180" w:rsidRDefault="00A41AF3" w:rsidP="00AB3890">
      <w:pPr>
        <w:jc w:val="both"/>
        <w:rPr>
          <w:lang w:eastAsia="en-GB"/>
        </w:rPr>
      </w:pPr>
      <w:r w:rsidRPr="003C5180">
        <w:rPr>
          <w:lang w:eastAsia="en-GB"/>
        </w:rPr>
        <w:t xml:space="preserve">All publications during this period are subject to permission by the Sponsor. If an investigator wishes to publish a sub-set of data without permission by the Sponsor during this period, the </w:t>
      </w:r>
      <w:r w:rsidR="00C72667" w:rsidRPr="00C72667">
        <w:rPr>
          <w:lang w:eastAsia="en-GB"/>
        </w:rPr>
        <w:t>Trial Management Group</w:t>
      </w:r>
      <w:r w:rsidR="00EB3394" w:rsidRPr="00C72667">
        <w:rPr>
          <w:lang w:eastAsia="en-GB"/>
        </w:rPr>
        <w:t>/the Funder</w:t>
      </w:r>
      <w:r w:rsidR="00632C73">
        <w:rPr>
          <w:lang w:eastAsia="en-GB"/>
        </w:rPr>
        <w:t>s</w:t>
      </w:r>
      <w:r w:rsidRPr="003C5180">
        <w:rPr>
          <w:lang w:eastAsia="en-GB"/>
        </w:rPr>
        <w:t xml:space="preserve"> shall have the </w:t>
      </w:r>
      <w:r w:rsidR="002C6DDB" w:rsidRPr="003C5180">
        <w:rPr>
          <w:lang w:eastAsia="en-GB"/>
        </w:rPr>
        <w:t xml:space="preserve">final say. </w:t>
      </w:r>
    </w:p>
    <w:p w14:paraId="4F6280A6" w14:textId="4E2C7242" w:rsidR="003A6F5A" w:rsidRPr="003C5180" w:rsidRDefault="00F652F0" w:rsidP="00AB3890">
      <w:pPr>
        <w:jc w:val="both"/>
        <w:rPr>
          <w:lang w:eastAsia="en-GB"/>
        </w:rPr>
      </w:pPr>
      <w:r w:rsidRPr="003C5180">
        <w:rPr>
          <w:lang w:eastAsia="en-GB"/>
        </w:rPr>
        <w:t xml:space="preserve">Exempt from this requirement are </w:t>
      </w:r>
      <w:r w:rsidR="00143EEE" w:rsidRPr="003C5180">
        <w:rPr>
          <w:lang w:eastAsia="en-GB"/>
        </w:rPr>
        <w:t>student theses that can be submitted for confidential evaluation but are subject to embargo for a period not shorter than the anticipated remaining duration of the trial</w:t>
      </w:r>
      <w:r w:rsidRPr="003C5180">
        <w:rPr>
          <w:lang w:eastAsia="en-GB"/>
        </w:rPr>
        <w:t>.</w:t>
      </w:r>
      <w:r w:rsidR="00143EEE" w:rsidRPr="003C5180">
        <w:rPr>
          <w:lang w:eastAsia="en-GB"/>
        </w:rPr>
        <w:t xml:space="preserve"> </w:t>
      </w:r>
      <w:r w:rsidR="00A41AF3" w:rsidRPr="003C5180">
        <w:rPr>
          <w:lang w:eastAsia="en-GB"/>
        </w:rPr>
        <w:t xml:space="preserve">  </w:t>
      </w:r>
      <w:r w:rsidR="00AB3890" w:rsidRPr="003C5180">
        <w:rPr>
          <w:lang w:eastAsia="en-GB"/>
        </w:rPr>
        <w:t xml:space="preserve">  </w:t>
      </w:r>
    </w:p>
    <w:p w14:paraId="5542527D" w14:textId="77777777" w:rsidR="00A41AF3" w:rsidRPr="003C5180" w:rsidRDefault="00A41AF3" w:rsidP="00DC258D">
      <w:pPr>
        <w:pStyle w:val="Heading2"/>
        <w:numPr>
          <w:ilvl w:val="1"/>
          <w:numId w:val="47"/>
        </w:numPr>
        <w:jc w:val="both"/>
        <w:rPr>
          <w:rFonts w:cs="Tahoma"/>
          <w:sz w:val="22"/>
          <w:szCs w:val="22"/>
        </w:rPr>
      </w:pPr>
      <w:bookmarkStart w:id="187" w:name="_Toc470102530"/>
      <w:r w:rsidRPr="003C5180">
        <w:rPr>
          <w:rFonts w:cs="Tahoma"/>
          <w:sz w:val="22"/>
          <w:szCs w:val="22"/>
        </w:rPr>
        <w:t xml:space="preserve">Up to </w:t>
      </w:r>
      <w:r w:rsidR="002C6DDB" w:rsidRPr="003C5180">
        <w:rPr>
          <w:rFonts w:cs="Tahoma"/>
          <w:sz w:val="22"/>
          <w:szCs w:val="22"/>
        </w:rPr>
        <w:t>18</w:t>
      </w:r>
      <w:r w:rsidRPr="003C5180">
        <w:rPr>
          <w:rFonts w:cs="Tahoma"/>
          <w:sz w:val="22"/>
          <w:szCs w:val="22"/>
        </w:rPr>
        <w:t>0 days after the official completion of the Trial</w:t>
      </w:r>
      <w:bookmarkEnd w:id="187"/>
      <w:r w:rsidRPr="003C5180">
        <w:rPr>
          <w:rFonts w:cs="Tahoma"/>
          <w:sz w:val="22"/>
          <w:szCs w:val="22"/>
        </w:rPr>
        <w:t xml:space="preserve"> </w:t>
      </w:r>
    </w:p>
    <w:p w14:paraId="6C6356DB" w14:textId="77777777" w:rsidR="00EB3394" w:rsidRDefault="002C6DDB" w:rsidP="00AB3890">
      <w:pPr>
        <w:jc w:val="both"/>
        <w:rPr>
          <w:lang w:eastAsia="en-GB"/>
        </w:rPr>
      </w:pPr>
      <w:r w:rsidRPr="003C5180">
        <w:rPr>
          <w:lang w:eastAsia="en-GB"/>
        </w:rPr>
        <w:t xml:space="preserve">During this period the Chief Investigator shall liaise </w:t>
      </w:r>
      <w:r w:rsidR="00B92380" w:rsidRPr="003C5180">
        <w:rPr>
          <w:lang w:eastAsia="en-GB"/>
        </w:rPr>
        <w:t>with all investigators and striv</w:t>
      </w:r>
      <w:r w:rsidRPr="003C5180">
        <w:rPr>
          <w:lang w:eastAsia="en-GB"/>
        </w:rPr>
        <w:t>e to consolidate data and results a</w:t>
      </w:r>
      <w:r w:rsidR="00632C73">
        <w:rPr>
          <w:lang w:eastAsia="en-GB"/>
        </w:rPr>
        <w:t xml:space="preserve">nd submit a manuscript for peer </w:t>
      </w:r>
      <w:r w:rsidRPr="003C5180">
        <w:rPr>
          <w:lang w:eastAsia="en-GB"/>
        </w:rPr>
        <w:t xml:space="preserve">review with a view to publication in a reputable academic journal or similar outlet as the Main Publication. </w:t>
      </w:r>
    </w:p>
    <w:p w14:paraId="3A07FA68" w14:textId="77777777" w:rsidR="00632C73" w:rsidRPr="003C5180" w:rsidRDefault="00632C73" w:rsidP="00AB3890">
      <w:pPr>
        <w:jc w:val="both"/>
        <w:rPr>
          <w:lang w:eastAsia="en-GB"/>
        </w:rPr>
      </w:pPr>
      <w:r w:rsidRPr="00D42BF6">
        <w:rPr>
          <w:rFonts w:cs="Arial"/>
          <w:color w:val="000000"/>
          <w:szCs w:val="22"/>
          <w:lang w:val="en-US"/>
        </w:rPr>
        <w:t xml:space="preserve">The Authorship of the primary results </w:t>
      </w:r>
      <w:r>
        <w:rPr>
          <w:rFonts w:cs="Arial"/>
          <w:color w:val="000000"/>
          <w:szCs w:val="22"/>
          <w:lang w:val="en-US"/>
        </w:rPr>
        <w:t xml:space="preserve">manuscript (‘Main Publication’) </w:t>
      </w:r>
      <w:r w:rsidRPr="00D42BF6">
        <w:rPr>
          <w:rFonts w:cs="Arial"/>
          <w:color w:val="000000"/>
          <w:szCs w:val="22"/>
          <w:lang w:val="en-US"/>
        </w:rPr>
        <w:t>arising will comprise all</w:t>
      </w:r>
      <w:r w:rsidRPr="00D42BF6">
        <w:rPr>
          <w:rFonts w:cs="Arial"/>
          <w:color w:val="333333"/>
          <w:szCs w:val="22"/>
          <w:lang w:val="en-US"/>
        </w:rPr>
        <w:t xml:space="preserve"> who have made a substantial intellectual contribution to the study (including the research question, design, analysis, interpretation), and so is expected to include all </w:t>
      </w:r>
      <w:r>
        <w:rPr>
          <w:rFonts w:cs="Arial"/>
          <w:color w:val="333333"/>
          <w:szCs w:val="22"/>
          <w:lang w:val="en-US"/>
        </w:rPr>
        <w:t>local PI</w:t>
      </w:r>
      <w:r w:rsidRPr="00D42BF6">
        <w:rPr>
          <w:rFonts w:cs="Arial"/>
          <w:color w:val="333333"/>
          <w:szCs w:val="22"/>
          <w:lang w:val="en-US"/>
        </w:rPr>
        <w:t xml:space="preserve">s </w:t>
      </w:r>
      <w:r>
        <w:rPr>
          <w:rFonts w:cs="Arial"/>
          <w:color w:val="333333"/>
          <w:szCs w:val="22"/>
          <w:lang w:val="en-US"/>
        </w:rPr>
        <w:t>contributing to</w:t>
      </w:r>
      <w:r w:rsidRPr="00D42BF6">
        <w:rPr>
          <w:rFonts w:cs="Arial"/>
          <w:color w:val="333333"/>
          <w:szCs w:val="22"/>
          <w:lang w:val="en-US"/>
        </w:rPr>
        <w:t xml:space="preserve"> this study </w:t>
      </w:r>
      <w:r>
        <w:rPr>
          <w:rFonts w:cs="Arial"/>
          <w:color w:val="333333"/>
          <w:szCs w:val="22"/>
          <w:lang w:val="en-US"/>
        </w:rPr>
        <w:t xml:space="preserve">providing that they </w:t>
      </w:r>
      <w:r w:rsidRPr="00D42BF6">
        <w:rPr>
          <w:rFonts w:cs="Arial"/>
          <w:color w:val="333333"/>
          <w:szCs w:val="22"/>
          <w:lang w:val="en-US"/>
        </w:rPr>
        <w:t>fulfil all four criteria of the ICMJE recommendations for authorship (</w:t>
      </w:r>
      <w:hyperlink r:id="rId12" w:history="1">
        <w:r w:rsidRPr="00D42BF6">
          <w:rPr>
            <w:rStyle w:val="Hyperlink"/>
            <w:rFonts w:cs="Arial"/>
            <w:szCs w:val="22"/>
            <w:lang w:val="en-US"/>
          </w:rPr>
          <w:t>www.icmje.org</w:t>
        </w:r>
      </w:hyperlink>
      <w:r w:rsidRPr="00D42BF6">
        <w:rPr>
          <w:rFonts w:cs="Arial"/>
          <w:color w:val="333333"/>
          <w:szCs w:val="22"/>
          <w:lang w:val="en-US"/>
        </w:rPr>
        <w:t xml:space="preserve">). </w:t>
      </w:r>
      <w:r w:rsidRPr="00D42BF6">
        <w:rPr>
          <w:rFonts w:cs="Arial"/>
          <w:color w:val="000000"/>
          <w:szCs w:val="22"/>
          <w:lang w:val="en-US"/>
        </w:rPr>
        <w:t xml:space="preserve">The initial drafting of the paper will be the responsibility of the CI. All </w:t>
      </w:r>
      <w:r>
        <w:rPr>
          <w:rFonts w:cs="Arial"/>
          <w:color w:val="000000"/>
          <w:szCs w:val="22"/>
          <w:lang w:val="en-US"/>
        </w:rPr>
        <w:t xml:space="preserve">other </w:t>
      </w:r>
      <w:r w:rsidRPr="00D42BF6">
        <w:rPr>
          <w:rFonts w:cs="Arial"/>
          <w:color w:val="000000"/>
          <w:szCs w:val="22"/>
          <w:lang w:val="en-US"/>
        </w:rPr>
        <w:t>contributors to the trial will be listed at the end of the manuscript, with their contribution identified</w:t>
      </w:r>
      <w:r>
        <w:rPr>
          <w:rFonts w:cs="Arial"/>
          <w:color w:val="000000"/>
          <w:szCs w:val="22"/>
          <w:lang w:val="en-US"/>
        </w:rPr>
        <w:t xml:space="preserve"> and acknowledged</w:t>
      </w:r>
      <w:r w:rsidRPr="00D42BF6">
        <w:rPr>
          <w:rFonts w:cs="Arial"/>
          <w:color w:val="000000"/>
          <w:szCs w:val="22"/>
          <w:lang w:val="en-US"/>
        </w:rPr>
        <w:t>.</w:t>
      </w:r>
    </w:p>
    <w:p w14:paraId="5F1E4285" w14:textId="77777777" w:rsidR="00EB3394" w:rsidRPr="003C5180" w:rsidRDefault="002C6DDB" w:rsidP="00586EF2">
      <w:pPr>
        <w:numPr>
          <w:ilvl w:val="0"/>
          <w:numId w:val="13"/>
        </w:numPr>
        <w:jc w:val="both"/>
        <w:rPr>
          <w:lang w:eastAsia="en-GB"/>
        </w:rPr>
      </w:pPr>
      <w:r w:rsidRPr="003C5180">
        <w:rPr>
          <w:lang w:eastAsia="en-GB"/>
        </w:rPr>
        <w:t xml:space="preserve">The Chief Investigator shall be senior and corresponding author of the Main Publication. </w:t>
      </w:r>
    </w:p>
    <w:p w14:paraId="26EAC0E2" w14:textId="77777777" w:rsidR="00EB3394" w:rsidRPr="003C5180" w:rsidRDefault="002C6DDB" w:rsidP="00586EF2">
      <w:pPr>
        <w:numPr>
          <w:ilvl w:val="0"/>
          <w:numId w:val="13"/>
        </w:numPr>
        <w:jc w:val="both"/>
        <w:rPr>
          <w:lang w:eastAsia="en-GB"/>
        </w:rPr>
      </w:pPr>
      <w:r w:rsidRPr="003C5180">
        <w:rPr>
          <w:lang w:eastAsia="en-GB"/>
        </w:rPr>
        <w:t xml:space="preserve">Insofar as compatible with the policies of the publication outlet and good academic practice, the other </w:t>
      </w:r>
      <w:r w:rsidR="00632C73">
        <w:rPr>
          <w:lang w:eastAsia="en-GB"/>
        </w:rPr>
        <w:t xml:space="preserve">Principal </w:t>
      </w:r>
      <w:r w:rsidRPr="003C5180">
        <w:rPr>
          <w:lang w:eastAsia="en-GB"/>
        </w:rPr>
        <w:t xml:space="preserve">Investigators shall be listed in alphabetic order. </w:t>
      </w:r>
    </w:p>
    <w:p w14:paraId="16F66C68" w14:textId="77777777" w:rsidR="00EB3394" w:rsidRPr="003C5180" w:rsidRDefault="002C6DDB" w:rsidP="00586EF2">
      <w:pPr>
        <w:numPr>
          <w:ilvl w:val="0"/>
          <w:numId w:val="13"/>
        </w:numPr>
        <w:jc w:val="both"/>
        <w:rPr>
          <w:lang w:eastAsia="en-GB"/>
        </w:rPr>
      </w:pPr>
      <w:r w:rsidRPr="003C5180">
        <w:rPr>
          <w:lang w:eastAsia="en-GB"/>
        </w:rPr>
        <w:t xml:space="preserve">Providers of analytical </w:t>
      </w:r>
      <w:r w:rsidR="00F652F0" w:rsidRPr="003C5180">
        <w:rPr>
          <w:lang w:eastAsia="en-GB"/>
        </w:rPr>
        <w:t xml:space="preserve">or technical </w:t>
      </w:r>
      <w:r w:rsidRPr="003C5180">
        <w:rPr>
          <w:lang w:eastAsia="en-GB"/>
        </w:rPr>
        <w:t xml:space="preserve">services shall be acknowledged, but will only be listed as co-authors if their services were provided in a non-routine manner as part of a scientific collaboration. </w:t>
      </w:r>
    </w:p>
    <w:p w14:paraId="06A97E25" w14:textId="77777777" w:rsidR="00EB3394" w:rsidRPr="003C5180" w:rsidRDefault="002C6DDB" w:rsidP="00586EF2">
      <w:pPr>
        <w:numPr>
          <w:ilvl w:val="0"/>
          <w:numId w:val="13"/>
        </w:numPr>
        <w:jc w:val="both"/>
        <w:rPr>
          <w:lang w:eastAsia="en-GB"/>
        </w:rPr>
      </w:pPr>
      <w:r w:rsidRPr="003C5180">
        <w:rPr>
          <w:lang w:eastAsia="en-GB"/>
        </w:rPr>
        <w:t xml:space="preserve">Members of the </w:t>
      </w:r>
      <w:r w:rsidR="00277F6C">
        <w:rPr>
          <w:lang w:eastAsia="en-GB"/>
        </w:rPr>
        <w:t>Trial Management Group</w:t>
      </w:r>
      <w:r w:rsidRPr="003C5180">
        <w:rPr>
          <w:lang w:eastAsia="en-GB"/>
        </w:rPr>
        <w:t xml:space="preserve"> shall only be acknowledged as co-authors if they contributed in other capacities as well.  </w:t>
      </w:r>
    </w:p>
    <w:p w14:paraId="2F58F2F0" w14:textId="77777777" w:rsidR="002C6DDB" w:rsidRPr="003C5180" w:rsidRDefault="002C6DDB" w:rsidP="00586EF2">
      <w:pPr>
        <w:numPr>
          <w:ilvl w:val="0"/>
          <w:numId w:val="13"/>
        </w:numPr>
        <w:jc w:val="both"/>
        <w:rPr>
          <w:lang w:eastAsia="en-GB"/>
        </w:rPr>
      </w:pPr>
      <w:r w:rsidRPr="003C5180">
        <w:rPr>
          <w:lang w:eastAsia="en-GB"/>
        </w:rPr>
        <w:t xml:space="preserve">If there are disagreements about the </w:t>
      </w:r>
      <w:r w:rsidR="00143EEE" w:rsidRPr="003C5180">
        <w:rPr>
          <w:lang w:eastAsia="en-GB"/>
        </w:rPr>
        <w:t xml:space="preserve">substance, content, style, conclusions, or author list of the Main Publication, the Chief Investigator shall ask the </w:t>
      </w:r>
      <w:r w:rsidR="00ED7E94">
        <w:rPr>
          <w:lang w:eastAsia="en-GB"/>
        </w:rPr>
        <w:t>Trial Management Group</w:t>
      </w:r>
      <w:r w:rsidR="00143EEE" w:rsidRPr="003C5180">
        <w:rPr>
          <w:lang w:eastAsia="en-GB"/>
        </w:rPr>
        <w:t xml:space="preserve"> to arbitrate.    </w:t>
      </w:r>
    </w:p>
    <w:p w14:paraId="026C9C16" w14:textId="77777777" w:rsidR="00143EEE" w:rsidRPr="003C5180" w:rsidRDefault="00143EEE" w:rsidP="00DC258D">
      <w:pPr>
        <w:pStyle w:val="Heading2"/>
        <w:numPr>
          <w:ilvl w:val="1"/>
          <w:numId w:val="47"/>
        </w:numPr>
        <w:jc w:val="both"/>
        <w:rPr>
          <w:rFonts w:cs="Tahoma"/>
          <w:sz w:val="22"/>
          <w:szCs w:val="22"/>
        </w:rPr>
      </w:pPr>
      <w:bookmarkStart w:id="188" w:name="_Toc470102531"/>
      <w:r w:rsidRPr="003C5180">
        <w:rPr>
          <w:rFonts w:cs="Tahoma"/>
          <w:sz w:val="22"/>
          <w:szCs w:val="22"/>
        </w:rPr>
        <w:t>Beyond 180 days after the official completion of the Trial</w:t>
      </w:r>
      <w:bookmarkEnd w:id="188"/>
      <w:r w:rsidRPr="003C5180">
        <w:rPr>
          <w:rFonts w:cs="Tahoma"/>
          <w:sz w:val="22"/>
          <w:szCs w:val="22"/>
        </w:rPr>
        <w:t xml:space="preserve"> </w:t>
      </w:r>
    </w:p>
    <w:p w14:paraId="61E31097" w14:textId="7C100FBB" w:rsidR="003A6F5A" w:rsidRPr="003C5180" w:rsidRDefault="00F652F0" w:rsidP="002C6DDB">
      <w:pPr>
        <w:jc w:val="both"/>
        <w:rPr>
          <w:lang w:eastAsia="en-GB"/>
        </w:rPr>
      </w:pPr>
      <w:r w:rsidRPr="003C5180">
        <w:rPr>
          <w:lang w:eastAsia="en-GB"/>
        </w:rPr>
        <w:t xml:space="preserve">After the Main Publication or after 180 days from Trial end date </w:t>
      </w:r>
      <w:r w:rsidR="00143EEE" w:rsidRPr="003C5180">
        <w:rPr>
          <w:lang w:eastAsia="en-GB"/>
        </w:rPr>
        <w:t xml:space="preserve">any </w:t>
      </w:r>
      <w:r w:rsidR="002C6DDB" w:rsidRPr="003C5180">
        <w:rPr>
          <w:lang w:eastAsia="en-GB"/>
        </w:rPr>
        <w:t xml:space="preserve">Investigator </w:t>
      </w:r>
      <w:r w:rsidR="00143EEE" w:rsidRPr="003C5180">
        <w:rPr>
          <w:lang w:eastAsia="en-GB"/>
        </w:rPr>
        <w:t xml:space="preserve">or group of investigators </w:t>
      </w:r>
      <w:r w:rsidR="002C6DDB" w:rsidRPr="003C5180">
        <w:rPr>
          <w:lang w:eastAsia="en-GB"/>
        </w:rPr>
        <w:t xml:space="preserve">may prepare </w:t>
      </w:r>
      <w:r w:rsidRPr="003C5180">
        <w:rPr>
          <w:lang w:eastAsia="en-GB"/>
        </w:rPr>
        <w:t xml:space="preserve">further </w:t>
      </w:r>
      <w:r w:rsidR="002C6DDB" w:rsidRPr="003C5180">
        <w:rPr>
          <w:lang w:eastAsia="en-GB"/>
        </w:rPr>
        <w:t>publication</w:t>
      </w:r>
      <w:r w:rsidRPr="003C5180">
        <w:rPr>
          <w:lang w:eastAsia="en-GB"/>
        </w:rPr>
        <w:t>s</w:t>
      </w:r>
      <w:r w:rsidR="002C6DDB" w:rsidRPr="003C5180">
        <w:rPr>
          <w:lang w:eastAsia="en-GB"/>
        </w:rPr>
        <w:t>.  In order to ensure that the Sponsor will be able to make comments and suggestions where pertinent, material for public dissemination will be submitted to the Sponsor for review at least 60 days prior to submission for publication, public dissemination, or review by a publication committee.</w:t>
      </w:r>
      <w:r w:rsidR="00143EEE" w:rsidRPr="003C5180">
        <w:rPr>
          <w:lang w:eastAsia="en-GB"/>
        </w:rPr>
        <w:t xml:space="preserve"> </w:t>
      </w:r>
      <w:r w:rsidR="00AF55BE">
        <w:rPr>
          <w:lang w:eastAsia="en-GB"/>
        </w:rPr>
        <w:t xml:space="preserve">The </w:t>
      </w:r>
      <w:r w:rsidR="00143EEE" w:rsidRPr="003C5180">
        <w:rPr>
          <w:lang w:eastAsia="en-GB"/>
        </w:rPr>
        <w:t xml:space="preserve">Sponsor’s reasonable comments shall be reflected. All publications related to the Trial shall credit the Chief and Co-Investigators as co-authors where this would be in accordance with normal academic practice and shall acknowledge the Sponsor and the Funders.   </w:t>
      </w:r>
    </w:p>
    <w:p w14:paraId="48E7BB87" w14:textId="77777777" w:rsidR="004571CC" w:rsidRPr="003C5180" w:rsidRDefault="004571CC" w:rsidP="00DC258D">
      <w:pPr>
        <w:pStyle w:val="Heading1"/>
        <w:numPr>
          <w:ilvl w:val="0"/>
          <w:numId w:val="47"/>
        </w:numPr>
        <w:rPr>
          <w:rFonts w:ascii="Calibri" w:hAnsi="Calibri"/>
          <w:szCs w:val="28"/>
        </w:rPr>
      </w:pPr>
      <w:bookmarkStart w:id="189" w:name="_Toc470102532"/>
      <w:r w:rsidRPr="003C5180">
        <w:rPr>
          <w:rFonts w:ascii="Calibri" w:hAnsi="Calibri"/>
          <w:szCs w:val="28"/>
        </w:rPr>
        <w:t>Statement of compliance</w:t>
      </w:r>
      <w:bookmarkEnd w:id="185"/>
      <w:bookmarkEnd w:id="189"/>
    </w:p>
    <w:p w14:paraId="7D120DFE" w14:textId="77777777" w:rsidR="004571CC" w:rsidRPr="003C5180" w:rsidRDefault="004571CC" w:rsidP="00B1288B">
      <w:pPr>
        <w:jc w:val="both"/>
        <w:rPr>
          <w:lang w:eastAsia="en-GB"/>
        </w:rPr>
      </w:pPr>
      <w:r w:rsidRPr="003C5180">
        <w:rPr>
          <w:lang w:eastAsia="en-GB"/>
        </w:rPr>
        <w:t xml:space="preserve">The trial will be conducted in compliance with the protocol, </w:t>
      </w:r>
      <w:r w:rsidR="00B1288B" w:rsidRPr="003C5180">
        <w:rPr>
          <w:lang w:eastAsia="en-GB"/>
        </w:rPr>
        <w:t xml:space="preserve">Sponsor’s </w:t>
      </w:r>
      <w:bookmarkStart w:id="190" w:name="OLE_LINK68"/>
      <w:bookmarkStart w:id="191" w:name="OLE_LINK69"/>
      <w:r w:rsidR="00B1288B" w:rsidRPr="003C5180">
        <w:rPr>
          <w:lang w:eastAsia="en-GB"/>
        </w:rPr>
        <w:t>SOPs</w:t>
      </w:r>
      <w:bookmarkEnd w:id="190"/>
      <w:bookmarkEnd w:id="191"/>
      <w:r w:rsidR="00B1288B" w:rsidRPr="003C5180">
        <w:rPr>
          <w:lang w:eastAsia="en-GB"/>
        </w:rPr>
        <w:t xml:space="preserve">, </w:t>
      </w:r>
      <w:r w:rsidRPr="003C5180">
        <w:rPr>
          <w:lang w:eastAsia="en-GB"/>
        </w:rPr>
        <w:t>GCP and the applicable regulatory requirements.</w:t>
      </w:r>
    </w:p>
    <w:p w14:paraId="38AFD551" w14:textId="41D48CF2" w:rsidR="004571CC" w:rsidRPr="003C5180" w:rsidRDefault="004571CC" w:rsidP="00B1288B">
      <w:pPr>
        <w:jc w:val="both"/>
        <w:rPr>
          <w:lang w:eastAsia="en-GB"/>
        </w:rPr>
      </w:pPr>
      <w:r w:rsidRPr="003C5180">
        <w:rPr>
          <w:lang w:eastAsia="en-GB"/>
        </w:rPr>
        <w:t>The study conduct shall comply with all relevant laws of the EU if directly applicable or of direct effect and all relevant laws and statutes of the UK country in which the study site is located</w:t>
      </w:r>
      <w:r w:rsidRPr="003C5180">
        <w:rPr>
          <w:rFonts w:cs="Tahoma"/>
          <w:sz w:val="22"/>
          <w:szCs w:val="22"/>
        </w:rPr>
        <w:t xml:space="preserve"> </w:t>
      </w:r>
      <w:r w:rsidRPr="003C5180">
        <w:rPr>
          <w:lang w:eastAsia="en-GB"/>
        </w:rPr>
        <w:t xml:space="preserve">including but not limited to, the Human Rights Act 1998, the Data Protection Act 1998, the </w:t>
      </w:r>
      <w:r w:rsidR="005E18C0" w:rsidRPr="003C5180">
        <w:rPr>
          <w:lang w:eastAsia="en-GB"/>
        </w:rPr>
        <w:t xml:space="preserve">Human </w:t>
      </w:r>
      <w:r w:rsidRPr="003C5180">
        <w:rPr>
          <w:lang w:eastAsia="en-GB"/>
        </w:rPr>
        <w:t xml:space="preserve">Medicines </w:t>
      </w:r>
      <w:r w:rsidR="005E18C0" w:rsidRPr="003C5180">
        <w:rPr>
          <w:lang w:eastAsia="en-GB"/>
        </w:rPr>
        <w:t>Regulations 2012,</w:t>
      </w:r>
      <w:r w:rsidRPr="003C5180">
        <w:rPr>
          <w:lang w:eastAsia="en-GB"/>
        </w:rPr>
        <w:t xml:space="preserve"> the Medicines for Human Use (Clinical Trial) Regulations 2004, and with all relevant guidance relating to medicines and clinical studies from time to time in force including, but not limited to, the ICH GCP, the World Medical Association Declaration of Helsinki entitled 'Ethical Principles for Medical Research Involving Human Subjects' (2008 Version), the </w:t>
      </w:r>
      <w:r w:rsidR="003A6F5A">
        <w:rPr>
          <w:lang w:eastAsia="en-GB"/>
        </w:rPr>
        <w:t>UK Policy</w:t>
      </w:r>
      <w:r w:rsidRPr="003C5180">
        <w:rPr>
          <w:lang w:eastAsia="en-GB"/>
        </w:rPr>
        <w:t xml:space="preserve"> Framework for Health and Social Care</w:t>
      </w:r>
      <w:r w:rsidR="003A6F5A">
        <w:rPr>
          <w:lang w:eastAsia="en-GB"/>
        </w:rPr>
        <w:t xml:space="preserve"> Research</w:t>
      </w:r>
      <w:r w:rsidRPr="003C5180">
        <w:rPr>
          <w:lang w:eastAsia="en-GB"/>
        </w:rPr>
        <w:t xml:space="preserve"> (Version </w:t>
      </w:r>
      <w:r w:rsidR="003A6F5A">
        <w:rPr>
          <w:lang w:eastAsia="en-GB"/>
        </w:rPr>
        <w:t>3.</w:t>
      </w:r>
      <w:r w:rsidRPr="003C5180">
        <w:rPr>
          <w:lang w:eastAsia="en-GB"/>
        </w:rPr>
        <w:t xml:space="preserve">2, </w:t>
      </w:r>
      <w:r w:rsidR="003A6F5A">
        <w:rPr>
          <w:lang w:eastAsia="en-GB"/>
        </w:rPr>
        <w:t>October</w:t>
      </w:r>
      <w:r w:rsidR="003A6F5A" w:rsidRPr="003C5180">
        <w:rPr>
          <w:lang w:eastAsia="en-GB"/>
        </w:rPr>
        <w:t xml:space="preserve"> 20</w:t>
      </w:r>
      <w:r w:rsidR="003A6F5A">
        <w:rPr>
          <w:lang w:eastAsia="en-GB"/>
        </w:rPr>
        <w:t>17</w:t>
      </w:r>
      <w:r w:rsidRPr="003C5180">
        <w:rPr>
          <w:lang w:eastAsia="en-GB"/>
        </w:rPr>
        <w:t xml:space="preserve">).   </w:t>
      </w:r>
    </w:p>
    <w:p w14:paraId="4C974AA2" w14:textId="729624C8" w:rsidR="004571CC" w:rsidRDefault="004571CC" w:rsidP="00B1288B">
      <w:pPr>
        <w:jc w:val="both"/>
        <w:rPr>
          <w:lang w:eastAsia="en-GB"/>
        </w:rPr>
      </w:pPr>
      <w:r w:rsidRPr="003C5180">
        <w:rPr>
          <w:lang w:eastAsia="en-GB"/>
        </w:rPr>
        <w:t>This study will be conducted in compliance with the protocol approved by the REC</w:t>
      </w:r>
      <w:r w:rsidR="003A6F5A">
        <w:rPr>
          <w:lang w:eastAsia="en-GB"/>
        </w:rPr>
        <w:t>, HRA</w:t>
      </w:r>
      <w:r w:rsidRPr="003C5180">
        <w:rPr>
          <w:lang w:eastAsia="en-GB"/>
        </w:rPr>
        <w:t xml:space="preserve"> and according to GCP standards and </w:t>
      </w:r>
      <w:r w:rsidR="00B1288B" w:rsidRPr="003C5180">
        <w:rPr>
          <w:lang w:eastAsia="en-GB"/>
        </w:rPr>
        <w:t xml:space="preserve">UK Clinical Trials Regulation. </w:t>
      </w:r>
      <w:r w:rsidRPr="003C5180">
        <w:rPr>
          <w:lang w:eastAsia="en-GB"/>
        </w:rPr>
        <w:t>No deviation from the protocol will be implemented without the prior review and approval of the Sponsor</w:t>
      </w:r>
      <w:r w:rsidR="003A6F5A">
        <w:rPr>
          <w:lang w:eastAsia="en-GB"/>
        </w:rPr>
        <w:t>, HRA</w:t>
      </w:r>
      <w:r w:rsidRPr="003C5180">
        <w:rPr>
          <w:lang w:eastAsia="en-GB"/>
        </w:rPr>
        <w:t xml:space="preserve"> and REC except where it may be necessary to eliminate an immediate hazard to a research subject.  In such case, the deviation will be reported to the Sponsor and REC as soon as possible.</w:t>
      </w:r>
    </w:p>
    <w:p w14:paraId="4436B5BF" w14:textId="77777777" w:rsidR="00342442" w:rsidRPr="003C5180" w:rsidRDefault="00342442" w:rsidP="00B1288B">
      <w:pPr>
        <w:jc w:val="both"/>
        <w:rPr>
          <w:lang w:eastAsia="en-GB"/>
        </w:rPr>
      </w:pPr>
    </w:p>
    <w:p w14:paraId="63170A42" w14:textId="77777777" w:rsidR="005D160B" w:rsidRPr="003C5180" w:rsidRDefault="005D160B" w:rsidP="00DC258D">
      <w:pPr>
        <w:pStyle w:val="Heading1"/>
        <w:numPr>
          <w:ilvl w:val="0"/>
          <w:numId w:val="47"/>
        </w:numPr>
        <w:rPr>
          <w:rFonts w:ascii="Calibri" w:hAnsi="Calibri"/>
          <w:szCs w:val="28"/>
        </w:rPr>
      </w:pPr>
      <w:bookmarkStart w:id="192" w:name="_Toc470102533"/>
      <w:r w:rsidRPr="003C5180">
        <w:rPr>
          <w:rFonts w:ascii="Calibri" w:hAnsi="Calibri"/>
          <w:szCs w:val="28"/>
        </w:rPr>
        <w:t>List of Protocol appendices</w:t>
      </w:r>
      <w:bookmarkEnd w:id="192"/>
    </w:p>
    <w:p w14:paraId="05F164EA" w14:textId="77777777" w:rsidR="005D160B" w:rsidRPr="003C5180" w:rsidRDefault="005D160B" w:rsidP="00B1288B">
      <w:pPr>
        <w:jc w:val="both"/>
        <w:rPr>
          <w:lang w:eastAsia="en-GB"/>
        </w:rPr>
      </w:pPr>
      <w:r w:rsidRPr="003C5180">
        <w:rPr>
          <w:lang w:eastAsia="en-GB"/>
        </w:rPr>
        <w:t>Appendix 1</w:t>
      </w:r>
      <w:r w:rsidRPr="003C5180">
        <w:rPr>
          <w:lang w:eastAsia="en-GB"/>
        </w:rPr>
        <w:tab/>
      </w:r>
      <w:r w:rsidR="00296FAA" w:rsidRPr="003C5180">
        <w:rPr>
          <w:lang w:eastAsia="en-GB"/>
        </w:rPr>
        <w:t>Protocol Amendment/Revision History</w:t>
      </w:r>
      <w:r w:rsidR="007B285C" w:rsidRPr="003C5180">
        <w:rPr>
          <w:lang w:eastAsia="en-GB"/>
        </w:rPr>
        <w:t xml:space="preserve"> (chronological order) or a statement </w:t>
      </w:r>
      <w:r w:rsidR="005E18C0" w:rsidRPr="003C5180">
        <w:rPr>
          <w:lang w:eastAsia="en-GB"/>
        </w:rPr>
        <w:t>“</w:t>
      </w:r>
      <w:r w:rsidR="007B285C" w:rsidRPr="003C5180">
        <w:rPr>
          <w:lang w:eastAsia="en-GB"/>
        </w:rPr>
        <w:t>There are currently no amendments</w:t>
      </w:r>
      <w:r w:rsidR="005E18C0" w:rsidRPr="003C5180">
        <w:rPr>
          <w:lang w:eastAsia="en-GB"/>
        </w:rPr>
        <w:t>”</w:t>
      </w:r>
    </w:p>
    <w:p w14:paraId="18B91DCE" w14:textId="77777777" w:rsidR="005D160B" w:rsidRDefault="005D160B" w:rsidP="00B1288B">
      <w:pPr>
        <w:jc w:val="both"/>
        <w:rPr>
          <w:lang w:eastAsia="en-GB"/>
        </w:rPr>
      </w:pPr>
      <w:r w:rsidRPr="003C5180">
        <w:rPr>
          <w:lang w:eastAsia="en-GB"/>
        </w:rPr>
        <w:t>Appendix 2</w:t>
      </w:r>
      <w:r w:rsidRPr="003C5180">
        <w:rPr>
          <w:lang w:eastAsia="en-GB"/>
        </w:rPr>
        <w:tab/>
      </w:r>
      <w:r w:rsidR="00296FAA" w:rsidRPr="003C5180">
        <w:rPr>
          <w:lang w:eastAsia="en-GB"/>
        </w:rPr>
        <w:t>Summary chart of study assessments</w:t>
      </w:r>
    </w:p>
    <w:p w14:paraId="7411203D" w14:textId="7CAD9B1E" w:rsidR="00E905DE" w:rsidRPr="003C5180" w:rsidRDefault="00E905DE" w:rsidP="00B1288B">
      <w:pPr>
        <w:jc w:val="both"/>
        <w:rPr>
          <w:lang w:eastAsia="en-GB"/>
        </w:rPr>
      </w:pPr>
      <w:r>
        <w:rPr>
          <w:lang w:eastAsia="en-GB"/>
        </w:rPr>
        <w:t>Appendix 3</w:t>
      </w:r>
      <w:r>
        <w:rPr>
          <w:lang w:eastAsia="en-GB"/>
        </w:rPr>
        <w:tab/>
        <w:t>Paracetamol administration record</w:t>
      </w:r>
    </w:p>
    <w:p w14:paraId="10B9358A" w14:textId="77777777" w:rsidR="00A17627" w:rsidRPr="003C5180" w:rsidRDefault="00FE4FC8" w:rsidP="00DC258D">
      <w:pPr>
        <w:pStyle w:val="Heading1"/>
        <w:numPr>
          <w:ilvl w:val="0"/>
          <w:numId w:val="47"/>
        </w:numPr>
        <w:rPr>
          <w:rFonts w:ascii="Calibri" w:hAnsi="Calibri"/>
        </w:rPr>
      </w:pPr>
      <w:bookmarkStart w:id="193" w:name="_Toc392773054"/>
      <w:bookmarkStart w:id="194" w:name="_Toc470102534"/>
      <w:bookmarkEnd w:id="102"/>
      <w:r w:rsidRPr="003C5180">
        <w:rPr>
          <w:rFonts w:ascii="Calibri" w:hAnsi="Calibri"/>
          <w:szCs w:val="28"/>
        </w:rPr>
        <w:t>References</w:t>
      </w:r>
      <w:bookmarkEnd w:id="193"/>
      <w:bookmarkEnd w:id="194"/>
    </w:p>
    <w:p w14:paraId="2C47B079" w14:textId="77777777" w:rsidR="003369D2" w:rsidRPr="003C5180" w:rsidRDefault="009E7A34" w:rsidP="00295C0F">
      <w:r w:rsidRPr="003C5180">
        <w:t>Campbell H, Amirthalingam G, Andrews N et al</w:t>
      </w:r>
      <w:r w:rsidR="000C680B" w:rsidRPr="003C5180">
        <w:t xml:space="preserve">. </w:t>
      </w:r>
      <w:r w:rsidRPr="003C5180">
        <w:t xml:space="preserve">Accelerating control of pertussis in England and Wales. Emerg Infect Dis </w:t>
      </w:r>
      <w:r w:rsidR="000C680B" w:rsidRPr="003C5180">
        <w:t xml:space="preserve">2012; </w:t>
      </w:r>
      <w:r w:rsidRPr="003C5180">
        <w:t xml:space="preserve">18: 38-47.  </w:t>
      </w:r>
    </w:p>
    <w:p w14:paraId="5549D46B" w14:textId="77777777" w:rsidR="008C12C0" w:rsidRPr="003C5180" w:rsidRDefault="008C12C0" w:rsidP="008C12C0">
      <w:r w:rsidRPr="003C5180">
        <w:t>Heath PT, Booy R, McVernon J, et al. Hib vaccination in infants born prematurely. Arch Dis Child. 2003; 88:206-10</w:t>
      </w:r>
    </w:p>
    <w:p w14:paraId="0C66EB22" w14:textId="77777777" w:rsidR="008C12C0" w:rsidRPr="003C5180" w:rsidRDefault="008C12C0" w:rsidP="008C12C0">
      <w:pPr>
        <w:tabs>
          <w:tab w:val="left" w:pos="0"/>
        </w:tabs>
        <w:suppressAutoHyphens/>
        <w:jc w:val="both"/>
      </w:pPr>
      <w:r w:rsidRPr="003C5180">
        <w:t>Rüggeberg JU, Collins C, Clarke P, et al. Immunogenicity and induction of immunological memory of the heptavalent pneumococcal conjugate vaccine in preterm UK infants. ESPID 2005 (55)</w:t>
      </w:r>
    </w:p>
    <w:p w14:paraId="63573E28" w14:textId="77777777" w:rsidR="008C12C0" w:rsidRDefault="008C12C0" w:rsidP="008C12C0">
      <w:pPr>
        <w:tabs>
          <w:tab w:val="left" w:pos="0"/>
        </w:tabs>
        <w:suppressAutoHyphens/>
        <w:jc w:val="both"/>
      </w:pPr>
      <w:r w:rsidRPr="003C5180">
        <w:rPr>
          <w:bCs/>
        </w:rPr>
        <w:t>Losonsky GA,</w:t>
      </w:r>
      <w:r w:rsidRPr="003C5180">
        <w:t xml:space="preserve"> </w:t>
      </w:r>
      <w:r w:rsidRPr="003C5180">
        <w:rPr>
          <w:bCs/>
        </w:rPr>
        <w:t>Wasserman SS,</w:t>
      </w:r>
      <w:r w:rsidRPr="003C5180">
        <w:t xml:space="preserve"> </w:t>
      </w:r>
      <w:r w:rsidRPr="003C5180">
        <w:rPr>
          <w:bCs/>
        </w:rPr>
        <w:t xml:space="preserve">Stephens I, et al. </w:t>
      </w:r>
      <w:r w:rsidRPr="003C5180">
        <w:t>Hepatitis B Vaccination of Premature Infants: A Reassessment of Current Recommendations for Delayed Immunization. Pediatrics 1999; 103:e14</w:t>
      </w:r>
    </w:p>
    <w:p w14:paraId="24F87753" w14:textId="77777777" w:rsidR="00BF3D3E" w:rsidRPr="003C5180" w:rsidRDefault="00BF3D3E" w:rsidP="008C12C0">
      <w:pPr>
        <w:tabs>
          <w:tab w:val="left" w:pos="0"/>
        </w:tabs>
        <w:suppressAutoHyphens/>
        <w:jc w:val="both"/>
      </w:pPr>
      <w:r w:rsidRPr="00F11F04">
        <w:t xml:space="preserve">Parikh SR, Andrews NJ, Beebeejaun K, et al. </w:t>
      </w:r>
      <w:r>
        <w:t xml:space="preserve">Effectiveness and impact of a reduced infant schedule of 4CMenB vaccine against group B meningococcal disease in England: a national observational cohort study. Lancet </w:t>
      </w:r>
      <w:r w:rsidR="00854B49">
        <w:t>2016; 388: 2775-2782</w:t>
      </w:r>
    </w:p>
    <w:p w14:paraId="6B06691E" w14:textId="77777777" w:rsidR="008C12C0" w:rsidRPr="003C5180" w:rsidRDefault="008C12C0" w:rsidP="008C12C0">
      <w:pPr>
        <w:tabs>
          <w:tab w:val="left" w:pos="0"/>
        </w:tabs>
        <w:suppressAutoHyphens/>
        <w:jc w:val="both"/>
        <w:rPr>
          <w:bCs/>
        </w:rPr>
      </w:pPr>
      <w:r w:rsidRPr="003C5180">
        <w:rPr>
          <w:bCs/>
        </w:rPr>
        <w:t>Robinson MJ, Heal C, Gardener E, et al. Antibody response to diphtheria-tetanus-pertussis immunization in preterm infants who receive dexamethasone for chronic lung disease. Pediatrics 2004; 113: 733–7</w:t>
      </w:r>
    </w:p>
    <w:p w14:paraId="6FFB860D" w14:textId="77777777" w:rsidR="000C680B" w:rsidRPr="003C5180" w:rsidRDefault="000C680B" w:rsidP="00295C0F">
      <w:r w:rsidRPr="003C5180">
        <w:t xml:space="preserve">Kent </w:t>
      </w:r>
      <w:r w:rsidR="008C12C0" w:rsidRPr="003C5180">
        <w:t>A, Ladhani SN, Andrews NJ, et al. Schedules for Pneumococcal Vaccination of Preterm Infants: An RCT. Pediatrics 2016; 138: e20153945</w:t>
      </w:r>
    </w:p>
    <w:p w14:paraId="1F529F21" w14:textId="77777777" w:rsidR="008C12C0" w:rsidRPr="003C5180" w:rsidRDefault="008C12C0" w:rsidP="008C12C0">
      <w:pPr>
        <w:tabs>
          <w:tab w:val="left" w:pos="0"/>
        </w:tabs>
        <w:suppressAutoHyphens/>
        <w:jc w:val="both"/>
      </w:pPr>
      <w:r w:rsidRPr="003C5180">
        <w:t>Immunisation against infectious diseases [The Green Book</w:t>
      </w:r>
      <w:r w:rsidR="00AF55BE">
        <w:t>]</w:t>
      </w:r>
      <w:r w:rsidRPr="003C5180">
        <w:t xml:space="preserve"> 2013. UK Department of Health, published by HMSO</w:t>
      </w:r>
    </w:p>
    <w:p w14:paraId="3FAF78F3" w14:textId="77777777" w:rsidR="00F53C76" w:rsidRPr="00CB69DF" w:rsidRDefault="00F53C76" w:rsidP="00F53C76">
      <w:pPr>
        <w:pStyle w:val="CommentText"/>
        <w:rPr>
          <w:sz w:val="23"/>
          <w:szCs w:val="24"/>
        </w:rPr>
      </w:pPr>
      <w:r w:rsidRPr="00CB69DF">
        <w:rPr>
          <w:sz w:val="23"/>
          <w:szCs w:val="24"/>
        </w:rPr>
        <w:t xml:space="preserve">Medical Research Council/Department of Health/Medicines for Healthcare Regulatory Agency. Joint Project on Risk-adapted Approaches to the Management of Clinical Trials of IMPs. (October 2011). Available at:  </w:t>
      </w:r>
      <w:hyperlink r:id="rId13" w:history="1">
        <w:r w:rsidRPr="00CB69DF">
          <w:rPr>
            <w:sz w:val="23"/>
            <w:szCs w:val="24"/>
          </w:rPr>
          <w:t>http://webarchive.nationalarchives.gov.uk/20141205150130/http://www.mhra.gov.uk/home/groups/l-ctu/documents/websiteresources/con111784.pdf</w:t>
        </w:r>
      </w:hyperlink>
      <w:r w:rsidRPr="00CB69DF">
        <w:rPr>
          <w:sz w:val="23"/>
          <w:szCs w:val="24"/>
        </w:rPr>
        <w:t xml:space="preserve"> (Accessed 12th February 2017)</w:t>
      </w:r>
    </w:p>
    <w:p w14:paraId="49BFD273" w14:textId="77777777" w:rsidR="003369D2" w:rsidRPr="003C5180" w:rsidRDefault="003369D2" w:rsidP="00295C0F">
      <w:pPr>
        <w:rPr>
          <w:lang w:eastAsia="en-GB"/>
        </w:rPr>
      </w:pPr>
    </w:p>
    <w:p w14:paraId="25B45ACA" w14:textId="1F9CB15D" w:rsidR="003369D2" w:rsidRPr="003C5180" w:rsidRDefault="003369D2" w:rsidP="00295C0F">
      <w:pPr>
        <w:rPr>
          <w:b/>
          <w:sz w:val="28"/>
          <w:szCs w:val="28"/>
          <w:lang w:eastAsia="en-GB"/>
        </w:rPr>
      </w:pPr>
      <w:r w:rsidRPr="003C5180">
        <w:rPr>
          <w:b/>
          <w:sz w:val="28"/>
          <w:szCs w:val="28"/>
          <w:lang w:eastAsia="en-GB"/>
        </w:rPr>
        <w:t>Appendix 1</w:t>
      </w:r>
    </w:p>
    <w:p w14:paraId="130BB760" w14:textId="77777777" w:rsidR="00CB69DF" w:rsidRDefault="003369D2" w:rsidP="00295C0F">
      <w:pPr>
        <w:rPr>
          <w:sz w:val="22"/>
          <w:szCs w:val="22"/>
          <w:lang w:eastAsia="en-GB"/>
        </w:rPr>
      </w:pPr>
      <w:r w:rsidRPr="003C5180">
        <w:rPr>
          <w:sz w:val="22"/>
          <w:szCs w:val="22"/>
          <w:lang w:eastAsia="en-GB"/>
        </w:rPr>
        <w:t>Protocol amendment /Revision History</w:t>
      </w:r>
    </w:p>
    <w:tbl>
      <w:tblPr>
        <w:tblStyle w:val="TableGrid1"/>
        <w:tblW w:w="0" w:type="auto"/>
        <w:tblLook w:val="04A0" w:firstRow="1" w:lastRow="0" w:firstColumn="1" w:lastColumn="0" w:noHBand="0" w:noVBand="1"/>
      </w:tblPr>
      <w:tblGrid>
        <w:gridCol w:w="4508"/>
        <w:gridCol w:w="4508"/>
      </w:tblGrid>
      <w:tr w:rsidR="00D35FDC" w:rsidRPr="0006457D" w14:paraId="5908A54F" w14:textId="77777777" w:rsidTr="00E3594F">
        <w:tc>
          <w:tcPr>
            <w:tcW w:w="4508" w:type="dxa"/>
            <w:shd w:val="clear" w:color="auto" w:fill="D9D9D9" w:themeFill="background1" w:themeFillShade="D9"/>
          </w:tcPr>
          <w:p w14:paraId="67A4736B" w14:textId="77777777" w:rsidR="00D35FDC" w:rsidRPr="00C933BC" w:rsidRDefault="00D35FDC" w:rsidP="00E3594F">
            <w:pPr>
              <w:rPr>
                <w:b/>
                <w:lang w:eastAsia="en-GB"/>
              </w:rPr>
            </w:pPr>
            <w:r w:rsidRPr="00C933BC">
              <w:rPr>
                <w:b/>
                <w:lang w:eastAsia="en-GB"/>
              </w:rPr>
              <w:t xml:space="preserve">Amendment ID/Protocol Version and Date </w:t>
            </w:r>
          </w:p>
        </w:tc>
        <w:tc>
          <w:tcPr>
            <w:tcW w:w="4508" w:type="dxa"/>
            <w:shd w:val="clear" w:color="auto" w:fill="D9D9D9" w:themeFill="background1" w:themeFillShade="D9"/>
          </w:tcPr>
          <w:p w14:paraId="2AECC9DB" w14:textId="77777777" w:rsidR="00D35FDC" w:rsidRPr="00C933BC" w:rsidRDefault="00D35FDC" w:rsidP="00E3594F">
            <w:pPr>
              <w:rPr>
                <w:b/>
                <w:lang w:eastAsia="en-GB"/>
              </w:rPr>
            </w:pPr>
            <w:r w:rsidRPr="00C933BC">
              <w:rPr>
                <w:b/>
                <w:lang w:eastAsia="en-GB"/>
              </w:rPr>
              <w:t xml:space="preserve">Justification for change/affected Protocol Sections </w:t>
            </w:r>
          </w:p>
        </w:tc>
      </w:tr>
      <w:tr w:rsidR="00B402C2" w14:paraId="10CCCC2C" w14:textId="77777777" w:rsidTr="00E3594F">
        <w:tc>
          <w:tcPr>
            <w:tcW w:w="4508" w:type="dxa"/>
          </w:tcPr>
          <w:p w14:paraId="2D76DBDA" w14:textId="08950C7C" w:rsidR="00B402C2" w:rsidRPr="00D90476" w:rsidRDefault="00B402C2" w:rsidP="00E3594F">
            <w:pPr>
              <w:pStyle w:val="ListParagraph"/>
              <w:spacing w:line="240" w:lineRule="auto"/>
              <w:ind w:left="29"/>
              <w:rPr>
                <w:szCs w:val="23"/>
                <w:lang w:eastAsia="en-GB"/>
              </w:rPr>
            </w:pPr>
            <w:r w:rsidRPr="00D90476">
              <w:rPr>
                <w:szCs w:val="23"/>
                <w:lang w:eastAsia="en-GB"/>
              </w:rPr>
              <w:t xml:space="preserve">Amendment </w:t>
            </w:r>
            <w:r w:rsidRPr="00D416A4">
              <w:rPr>
                <w:szCs w:val="23"/>
                <w:lang w:eastAsia="en-GB"/>
              </w:rPr>
              <w:t xml:space="preserve">ID </w:t>
            </w:r>
            <w:r w:rsidRPr="00ED21AA">
              <w:rPr>
                <w:rFonts w:ascii="Calibri" w:hAnsi="Calibri"/>
                <w:szCs w:val="23"/>
              </w:rPr>
              <w:t>SAM01_AM04</w:t>
            </w:r>
          </w:p>
        </w:tc>
        <w:tc>
          <w:tcPr>
            <w:tcW w:w="4508" w:type="dxa"/>
          </w:tcPr>
          <w:p w14:paraId="43DD031A" w14:textId="715F1E5B" w:rsidR="00B402C2" w:rsidRDefault="00B402C2" w:rsidP="00B402C2">
            <w:pPr>
              <w:spacing w:line="240" w:lineRule="auto"/>
              <w:rPr>
                <w:lang w:eastAsia="en-GB"/>
              </w:rPr>
            </w:pPr>
            <w:r>
              <w:rPr>
                <w:lang w:eastAsia="en-GB"/>
              </w:rPr>
              <w:t>Sponsor Representative changed</w:t>
            </w:r>
          </w:p>
        </w:tc>
      </w:tr>
      <w:tr w:rsidR="00B402C2" w14:paraId="211BFF96" w14:textId="77777777" w:rsidTr="00B402C2">
        <w:trPr>
          <w:trHeight w:val="1283"/>
        </w:trPr>
        <w:tc>
          <w:tcPr>
            <w:tcW w:w="4508" w:type="dxa"/>
            <w:vMerge w:val="restart"/>
          </w:tcPr>
          <w:p w14:paraId="41561EEF" w14:textId="45587A24" w:rsidR="00B402C2" w:rsidRPr="0064622B" w:rsidRDefault="00B402C2" w:rsidP="00E3594F">
            <w:pPr>
              <w:pStyle w:val="ListParagraph"/>
              <w:spacing w:line="240" w:lineRule="auto"/>
              <w:ind w:left="29"/>
              <w:rPr>
                <w:szCs w:val="23"/>
                <w:lang w:val="en-US" w:eastAsia="en-GB"/>
              </w:rPr>
            </w:pPr>
            <w:r w:rsidRPr="00D90476">
              <w:rPr>
                <w:szCs w:val="23"/>
                <w:lang w:eastAsia="en-GB"/>
              </w:rPr>
              <w:t xml:space="preserve">Amendment </w:t>
            </w:r>
            <w:r w:rsidRPr="00D416A4">
              <w:rPr>
                <w:szCs w:val="23"/>
                <w:lang w:eastAsia="en-GB"/>
              </w:rPr>
              <w:t xml:space="preserve">ID </w:t>
            </w:r>
            <w:r>
              <w:rPr>
                <w:rFonts w:ascii="Calibri" w:hAnsi="Calibri"/>
                <w:szCs w:val="23"/>
              </w:rPr>
              <w:t>SAM02</w:t>
            </w:r>
            <w:r w:rsidRPr="00ED21AA">
              <w:rPr>
                <w:rFonts w:ascii="Calibri" w:hAnsi="Calibri"/>
                <w:szCs w:val="23"/>
              </w:rPr>
              <w:t>_AM0</w:t>
            </w:r>
            <w:r>
              <w:rPr>
                <w:rFonts w:ascii="Calibri" w:hAnsi="Calibri"/>
                <w:szCs w:val="23"/>
              </w:rPr>
              <w:t>5</w:t>
            </w:r>
            <w:r>
              <w:rPr>
                <w:szCs w:val="23"/>
                <w:lang w:eastAsia="en-GB"/>
              </w:rPr>
              <w:t xml:space="preserve"> </w:t>
            </w:r>
            <w:r w:rsidRPr="00D90476">
              <w:rPr>
                <w:szCs w:val="23"/>
                <w:lang w:eastAsia="en-GB"/>
              </w:rPr>
              <w:t xml:space="preserve">Protocol </w:t>
            </w:r>
            <w:r w:rsidRPr="00D416A4">
              <w:rPr>
                <w:szCs w:val="23"/>
                <w:lang w:eastAsia="en-GB"/>
              </w:rPr>
              <w:t xml:space="preserve"> Version 2.0, 21.03.18</w:t>
            </w:r>
          </w:p>
          <w:p w14:paraId="3BBA9DDE" w14:textId="0308E8A0" w:rsidR="00B402C2" w:rsidRPr="00640FAC" w:rsidRDefault="00B402C2">
            <w:pPr>
              <w:spacing w:line="240" w:lineRule="auto"/>
              <w:rPr>
                <w:lang w:val="en-US" w:eastAsia="en-GB"/>
              </w:rPr>
            </w:pPr>
            <w:r>
              <w:rPr>
                <w:lang w:eastAsia="en-GB"/>
              </w:rPr>
              <w:t xml:space="preserve"> </w:t>
            </w:r>
          </w:p>
        </w:tc>
        <w:tc>
          <w:tcPr>
            <w:tcW w:w="4508" w:type="dxa"/>
          </w:tcPr>
          <w:p w14:paraId="01472325" w14:textId="368182D9" w:rsidR="00B402C2" w:rsidRDefault="00B402C2" w:rsidP="00E3594F">
            <w:pPr>
              <w:spacing w:line="240" w:lineRule="auto"/>
              <w:rPr>
                <w:lang w:eastAsia="en-GB"/>
              </w:rPr>
            </w:pPr>
            <w:r>
              <w:rPr>
                <w:lang w:eastAsia="en-GB"/>
              </w:rPr>
              <w:t>Change of contact at central laboratory due to a change in staff. 2. Roles and responsibilities.</w:t>
            </w:r>
          </w:p>
        </w:tc>
      </w:tr>
      <w:tr w:rsidR="00E3594F" w14:paraId="63B3CB28" w14:textId="77777777" w:rsidTr="00E3594F">
        <w:tc>
          <w:tcPr>
            <w:tcW w:w="4508" w:type="dxa"/>
            <w:vMerge/>
          </w:tcPr>
          <w:p w14:paraId="193D3570" w14:textId="12FA7577" w:rsidR="00E3594F" w:rsidRDefault="00E3594F" w:rsidP="00E3594F">
            <w:pPr>
              <w:spacing w:line="240" w:lineRule="auto"/>
              <w:rPr>
                <w:lang w:eastAsia="en-GB"/>
              </w:rPr>
            </w:pPr>
          </w:p>
        </w:tc>
        <w:tc>
          <w:tcPr>
            <w:tcW w:w="4508" w:type="dxa"/>
          </w:tcPr>
          <w:p w14:paraId="5C37CCAC" w14:textId="06DF3FFB" w:rsidR="00E3594F" w:rsidRDefault="00E3594F" w:rsidP="0064622B">
            <w:pPr>
              <w:spacing w:line="240" w:lineRule="auto"/>
              <w:rPr>
                <w:lang w:eastAsia="en-GB"/>
              </w:rPr>
            </w:pPr>
            <w:r>
              <w:rPr>
                <w:lang w:eastAsia="en-GB"/>
              </w:rPr>
              <w:t xml:space="preserve">Addition of ‘child in care’ to exclusion criteria </w:t>
            </w:r>
            <w:r w:rsidR="0064622B">
              <w:rPr>
                <w:lang w:eastAsia="en-GB"/>
              </w:rPr>
              <w:t>at request from funder</w:t>
            </w:r>
            <w:r>
              <w:rPr>
                <w:lang w:eastAsia="en-GB"/>
              </w:rPr>
              <w:t xml:space="preserve">. 3. Study synopsis and 9.2 participant selection criteria. </w:t>
            </w:r>
          </w:p>
        </w:tc>
      </w:tr>
      <w:tr w:rsidR="00E3594F" w14:paraId="5D3FC95E" w14:textId="77777777" w:rsidTr="00E3594F">
        <w:tc>
          <w:tcPr>
            <w:tcW w:w="4508" w:type="dxa"/>
            <w:vMerge/>
          </w:tcPr>
          <w:p w14:paraId="0385B439" w14:textId="2283CF5A" w:rsidR="00E3594F" w:rsidRDefault="00E3594F" w:rsidP="00E3594F">
            <w:pPr>
              <w:spacing w:line="240" w:lineRule="auto"/>
              <w:rPr>
                <w:lang w:eastAsia="en-GB"/>
              </w:rPr>
            </w:pPr>
          </w:p>
        </w:tc>
        <w:tc>
          <w:tcPr>
            <w:tcW w:w="4508" w:type="dxa"/>
          </w:tcPr>
          <w:p w14:paraId="3B5F9765" w14:textId="77777777" w:rsidR="00E3594F" w:rsidRDefault="00E3594F" w:rsidP="00E3594F">
            <w:pPr>
              <w:spacing w:line="240" w:lineRule="auto"/>
              <w:rPr>
                <w:lang w:eastAsia="en-GB"/>
              </w:rPr>
            </w:pPr>
            <w:r>
              <w:rPr>
                <w:lang w:eastAsia="en-GB"/>
              </w:rPr>
              <w:t>Clarification of new vaccine schedule because of a change in UK policy in August 2017. 6. Background and 8.4 Name and description of each non-IMP (NIMP).</w:t>
            </w:r>
          </w:p>
        </w:tc>
      </w:tr>
      <w:tr w:rsidR="00E3594F" w14:paraId="1E8F7AF0" w14:textId="77777777" w:rsidTr="00E3594F">
        <w:tc>
          <w:tcPr>
            <w:tcW w:w="4508" w:type="dxa"/>
            <w:vMerge/>
          </w:tcPr>
          <w:p w14:paraId="731D0685" w14:textId="374159AE" w:rsidR="00E3594F" w:rsidRDefault="00E3594F" w:rsidP="00E3594F">
            <w:pPr>
              <w:spacing w:line="240" w:lineRule="auto"/>
              <w:rPr>
                <w:lang w:eastAsia="en-GB"/>
              </w:rPr>
            </w:pPr>
          </w:p>
        </w:tc>
        <w:tc>
          <w:tcPr>
            <w:tcW w:w="4508" w:type="dxa"/>
          </w:tcPr>
          <w:p w14:paraId="3B900152" w14:textId="77777777" w:rsidR="00E3594F" w:rsidRDefault="00E3594F" w:rsidP="00E3594F">
            <w:pPr>
              <w:spacing w:line="240" w:lineRule="auto"/>
              <w:rPr>
                <w:lang w:eastAsia="en-GB"/>
              </w:rPr>
            </w:pPr>
            <w:r>
              <w:rPr>
                <w:lang w:eastAsia="en-GB"/>
              </w:rPr>
              <w:t xml:space="preserve">Change to adverse event recording so only those events which are not captured in the diary need to be recorded as adverse events and logged. This is to reduce the burden to sites of double reporting. 6. Background- assessment and management of potential risk. 13.2 Investigator responsibilities relating to safety reporting. </w:t>
            </w:r>
          </w:p>
        </w:tc>
      </w:tr>
      <w:tr w:rsidR="00E3594F" w14:paraId="2183B756" w14:textId="77777777" w:rsidTr="00E3594F">
        <w:tc>
          <w:tcPr>
            <w:tcW w:w="4508" w:type="dxa"/>
            <w:vMerge/>
          </w:tcPr>
          <w:p w14:paraId="016BFBFE" w14:textId="68BCC496" w:rsidR="00E3594F" w:rsidRDefault="00E3594F" w:rsidP="00E3594F">
            <w:pPr>
              <w:spacing w:line="240" w:lineRule="auto"/>
              <w:rPr>
                <w:lang w:eastAsia="en-GB"/>
              </w:rPr>
            </w:pPr>
          </w:p>
        </w:tc>
        <w:tc>
          <w:tcPr>
            <w:tcW w:w="4508" w:type="dxa"/>
          </w:tcPr>
          <w:p w14:paraId="26AEF898" w14:textId="77777777" w:rsidR="00E3594F" w:rsidRDefault="00E3594F" w:rsidP="00E3594F">
            <w:pPr>
              <w:spacing w:line="240" w:lineRule="auto"/>
              <w:rPr>
                <w:lang w:eastAsia="en-GB"/>
              </w:rPr>
            </w:pPr>
            <w:r>
              <w:rPr>
                <w:lang w:eastAsia="en-GB"/>
              </w:rPr>
              <w:t>Addition of wording clarifying the requirements for prescription of Bexsero. Clarifying existing practice. 6. Background-assessment and management of potential risk.</w:t>
            </w:r>
          </w:p>
        </w:tc>
      </w:tr>
      <w:tr w:rsidR="00E3594F" w14:paraId="750DDA68" w14:textId="77777777" w:rsidTr="00E3594F">
        <w:tc>
          <w:tcPr>
            <w:tcW w:w="4508" w:type="dxa"/>
            <w:vMerge/>
          </w:tcPr>
          <w:p w14:paraId="551D3499" w14:textId="10B94AC4" w:rsidR="00E3594F" w:rsidRDefault="00E3594F" w:rsidP="00E3594F">
            <w:pPr>
              <w:spacing w:line="240" w:lineRule="auto"/>
              <w:rPr>
                <w:lang w:eastAsia="en-GB"/>
              </w:rPr>
            </w:pPr>
          </w:p>
        </w:tc>
        <w:tc>
          <w:tcPr>
            <w:tcW w:w="4508" w:type="dxa"/>
          </w:tcPr>
          <w:p w14:paraId="5C77A550" w14:textId="77777777" w:rsidR="00E3594F" w:rsidRDefault="00E3594F" w:rsidP="00E3594F">
            <w:pPr>
              <w:spacing w:line="240" w:lineRule="auto"/>
              <w:rPr>
                <w:lang w:eastAsia="en-GB"/>
              </w:rPr>
            </w:pPr>
            <w:r>
              <w:rPr>
                <w:lang w:eastAsia="en-GB"/>
              </w:rPr>
              <w:t xml:space="preserve">Clarification of how alternative accountability arrangements are to be agreed with the Sponsor for clarity. 8.2 Accountability procedures for the IMPs and NIMPs. </w:t>
            </w:r>
          </w:p>
        </w:tc>
      </w:tr>
      <w:tr w:rsidR="00E3594F" w14:paraId="29A7DD11" w14:textId="77777777" w:rsidTr="00E3594F">
        <w:tc>
          <w:tcPr>
            <w:tcW w:w="4508" w:type="dxa"/>
            <w:vMerge/>
          </w:tcPr>
          <w:p w14:paraId="2F80BAA6" w14:textId="7C610568" w:rsidR="00E3594F" w:rsidRDefault="00E3594F" w:rsidP="00E3594F">
            <w:pPr>
              <w:spacing w:line="240" w:lineRule="auto"/>
              <w:rPr>
                <w:lang w:eastAsia="en-GB"/>
              </w:rPr>
            </w:pPr>
          </w:p>
        </w:tc>
        <w:tc>
          <w:tcPr>
            <w:tcW w:w="4508" w:type="dxa"/>
          </w:tcPr>
          <w:p w14:paraId="7885374F" w14:textId="77777777" w:rsidR="00E3594F" w:rsidRDefault="00E3594F" w:rsidP="00E3594F">
            <w:pPr>
              <w:spacing w:line="240" w:lineRule="auto"/>
              <w:rPr>
                <w:lang w:eastAsia="en-GB"/>
              </w:rPr>
            </w:pPr>
            <w:r>
              <w:rPr>
                <w:lang w:eastAsia="en-GB"/>
              </w:rPr>
              <w:t xml:space="preserve">Addition of Palivizumab to concomitant medication of interest. 8.5 Concomitant medication. </w:t>
            </w:r>
          </w:p>
        </w:tc>
      </w:tr>
      <w:tr w:rsidR="00E3594F" w14:paraId="03407B54" w14:textId="77777777" w:rsidTr="00B402C2">
        <w:trPr>
          <w:trHeight w:val="50"/>
        </w:trPr>
        <w:tc>
          <w:tcPr>
            <w:tcW w:w="4508" w:type="dxa"/>
            <w:vMerge/>
          </w:tcPr>
          <w:p w14:paraId="27D8A952" w14:textId="2B43A9AB" w:rsidR="00E3594F" w:rsidRDefault="00E3594F" w:rsidP="00E3594F">
            <w:pPr>
              <w:spacing w:line="240" w:lineRule="auto"/>
              <w:rPr>
                <w:lang w:eastAsia="en-GB"/>
              </w:rPr>
            </w:pPr>
          </w:p>
        </w:tc>
        <w:tc>
          <w:tcPr>
            <w:tcW w:w="4508" w:type="dxa"/>
          </w:tcPr>
          <w:p w14:paraId="3DE487F4" w14:textId="77777777" w:rsidR="00E3594F" w:rsidRDefault="00E3594F" w:rsidP="00E3594F">
            <w:pPr>
              <w:spacing w:line="240" w:lineRule="auto"/>
              <w:rPr>
                <w:lang w:eastAsia="en-GB"/>
              </w:rPr>
            </w:pPr>
            <w:r>
              <w:rPr>
                <w:lang w:eastAsia="en-GB"/>
              </w:rPr>
              <w:t>Addition of twitter account to allow parents to follow progress of study. 10. Subject/Patient Recruitment process.</w:t>
            </w:r>
          </w:p>
        </w:tc>
      </w:tr>
      <w:tr w:rsidR="00E3594F" w14:paraId="5BD925D2" w14:textId="77777777" w:rsidTr="00E3594F">
        <w:tc>
          <w:tcPr>
            <w:tcW w:w="4508" w:type="dxa"/>
            <w:vMerge w:val="restart"/>
          </w:tcPr>
          <w:p w14:paraId="5BC7F744" w14:textId="2D03D825" w:rsidR="00E3594F" w:rsidRDefault="00E3594F" w:rsidP="00E3594F">
            <w:pPr>
              <w:spacing w:line="240" w:lineRule="auto"/>
              <w:rPr>
                <w:lang w:eastAsia="en-GB"/>
              </w:rPr>
            </w:pPr>
          </w:p>
        </w:tc>
        <w:tc>
          <w:tcPr>
            <w:tcW w:w="4508" w:type="dxa"/>
          </w:tcPr>
          <w:p w14:paraId="2165DCED" w14:textId="1BE875E0" w:rsidR="00E3594F" w:rsidRDefault="00E3594F" w:rsidP="00E3594F">
            <w:pPr>
              <w:spacing w:line="240" w:lineRule="auto"/>
              <w:rPr>
                <w:lang w:eastAsia="en-GB"/>
              </w:rPr>
            </w:pPr>
            <w:r>
              <w:rPr>
                <w:lang w:eastAsia="en-GB"/>
              </w:rPr>
              <w:t xml:space="preserve">Clarification that randomisation must take place at first visit- no change to existing practice, just to reinforce. 11.2 Randomisation procedure and 16.4.3 Randomisation. </w:t>
            </w:r>
          </w:p>
        </w:tc>
      </w:tr>
      <w:tr w:rsidR="00E3594F" w14:paraId="5E502B8D" w14:textId="77777777" w:rsidTr="00E3594F">
        <w:tc>
          <w:tcPr>
            <w:tcW w:w="4508" w:type="dxa"/>
            <w:vMerge/>
          </w:tcPr>
          <w:p w14:paraId="348CCC32" w14:textId="1110413B" w:rsidR="00E3594F" w:rsidRDefault="00E3594F" w:rsidP="00E3594F">
            <w:pPr>
              <w:spacing w:line="240" w:lineRule="auto"/>
              <w:rPr>
                <w:lang w:eastAsia="en-GB"/>
              </w:rPr>
            </w:pPr>
          </w:p>
        </w:tc>
        <w:tc>
          <w:tcPr>
            <w:tcW w:w="4508" w:type="dxa"/>
          </w:tcPr>
          <w:p w14:paraId="18826B04" w14:textId="77777777" w:rsidR="00E3594F" w:rsidRDefault="00E3594F" w:rsidP="00E3594F">
            <w:pPr>
              <w:spacing w:line="240" w:lineRule="auto"/>
              <w:rPr>
                <w:lang w:eastAsia="en-GB"/>
              </w:rPr>
            </w:pPr>
            <w:r>
              <w:rPr>
                <w:lang w:eastAsia="en-GB"/>
              </w:rPr>
              <w:t>Change to allow participants to be replaced if they are withdrawn from the study before receiving their first vaccination as no study procedure other than randomisation will have taken place. 11.2 Randomisation procedure.</w:t>
            </w:r>
          </w:p>
        </w:tc>
      </w:tr>
      <w:tr w:rsidR="00E3594F" w14:paraId="0510B929" w14:textId="77777777" w:rsidTr="00E3594F">
        <w:tc>
          <w:tcPr>
            <w:tcW w:w="4508" w:type="dxa"/>
            <w:vMerge/>
          </w:tcPr>
          <w:p w14:paraId="44A3BBC8" w14:textId="51767A6B" w:rsidR="00E3594F" w:rsidRDefault="00E3594F" w:rsidP="00E3594F">
            <w:pPr>
              <w:spacing w:line="240" w:lineRule="auto"/>
              <w:rPr>
                <w:lang w:eastAsia="en-GB"/>
              </w:rPr>
            </w:pPr>
          </w:p>
        </w:tc>
        <w:tc>
          <w:tcPr>
            <w:tcW w:w="4508" w:type="dxa"/>
          </w:tcPr>
          <w:p w14:paraId="5867AF49" w14:textId="77777777" w:rsidR="00E3594F" w:rsidRPr="003516E4" w:rsidRDefault="00E3594F" w:rsidP="00E3594F">
            <w:pPr>
              <w:spacing w:line="240" w:lineRule="auto"/>
              <w:jc w:val="both"/>
              <w:rPr>
                <w:b/>
                <w:lang w:eastAsia="en-GB"/>
              </w:rPr>
            </w:pPr>
            <w:r>
              <w:rPr>
                <w:lang w:eastAsia="en-GB"/>
              </w:rPr>
              <w:t xml:space="preserve">Change to allow hospital prescription of vaccines to be performed by a member of the clinical team not on the delegation log providing a member of the study team has prescribed the vaccine on the study prescription chart. This is to reduce obstacles in sites where the study team are not members of the inpatient clinical team and to ensure appropriate study and hospital records can be maintained. </w:t>
            </w:r>
            <w:r w:rsidRPr="00104F8B">
              <w:rPr>
                <w:lang w:eastAsia="en-GB"/>
              </w:rPr>
              <w:t>11.3 Prescribing and Dispensing of IMP</w:t>
            </w:r>
            <w:r>
              <w:rPr>
                <w:lang w:eastAsia="en-GB"/>
              </w:rPr>
              <w:t>.</w:t>
            </w:r>
          </w:p>
          <w:p w14:paraId="1CBC763D" w14:textId="77777777" w:rsidR="00E3594F" w:rsidRDefault="00E3594F" w:rsidP="00E3594F">
            <w:pPr>
              <w:spacing w:line="240" w:lineRule="auto"/>
              <w:rPr>
                <w:lang w:eastAsia="en-GB"/>
              </w:rPr>
            </w:pPr>
          </w:p>
        </w:tc>
      </w:tr>
      <w:tr w:rsidR="00E3594F" w14:paraId="71C3D950" w14:textId="77777777" w:rsidTr="00E3594F">
        <w:tc>
          <w:tcPr>
            <w:tcW w:w="4508" w:type="dxa"/>
            <w:vMerge/>
          </w:tcPr>
          <w:p w14:paraId="6D9C19CE" w14:textId="27FD2773" w:rsidR="00E3594F" w:rsidRDefault="00E3594F" w:rsidP="00E3594F">
            <w:pPr>
              <w:spacing w:line="240" w:lineRule="auto"/>
              <w:rPr>
                <w:lang w:eastAsia="en-GB"/>
              </w:rPr>
            </w:pPr>
          </w:p>
        </w:tc>
        <w:tc>
          <w:tcPr>
            <w:tcW w:w="4508" w:type="dxa"/>
          </w:tcPr>
          <w:p w14:paraId="1896F1B8" w14:textId="77777777" w:rsidR="00E3594F" w:rsidRDefault="00E3594F" w:rsidP="00E3594F">
            <w:pPr>
              <w:spacing w:line="240" w:lineRule="auto"/>
              <w:jc w:val="both"/>
              <w:rPr>
                <w:lang w:eastAsia="en-GB"/>
              </w:rPr>
            </w:pPr>
            <w:r>
              <w:rPr>
                <w:lang w:eastAsia="en-GB"/>
              </w:rPr>
              <w:t xml:space="preserve">Addition of information about the procedure which should be followed if a baby is temporarily transferred to another site (for example for surgical management). 11.6 Participant transfers. </w:t>
            </w:r>
          </w:p>
        </w:tc>
      </w:tr>
      <w:tr w:rsidR="00E3594F" w14:paraId="188D3C2B" w14:textId="77777777" w:rsidTr="00E3594F">
        <w:tc>
          <w:tcPr>
            <w:tcW w:w="4508" w:type="dxa"/>
            <w:vMerge/>
          </w:tcPr>
          <w:p w14:paraId="0174B81E" w14:textId="1EE8393D" w:rsidR="00E3594F" w:rsidRDefault="00E3594F" w:rsidP="00E3594F">
            <w:pPr>
              <w:spacing w:line="240" w:lineRule="auto"/>
              <w:rPr>
                <w:lang w:eastAsia="en-GB"/>
              </w:rPr>
            </w:pPr>
          </w:p>
        </w:tc>
        <w:tc>
          <w:tcPr>
            <w:tcW w:w="4508" w:type="dxa"/>
          </w:tcPr>
          <w:p w14:paraId="75C819A8" w14:textId="77777777" w:rsidR="00E3594F" w:rsidRDefault="00E3594F" w:rsidP="00E3594F">
            <w:pPr>
              <w:spacing w:line="240" w:lineRule="auto"/>
              <w:jc w:val="both"/>
              <w:rPr>
                <w:lang w:eastAsia="en-GB"/>
              </w:rPr>
            </w:pPr>
            <w:r>
              <w:rPr>
                <w:lang w:eastAsia="en-GB"/>
              </w:rPr>
              <w:t xml:space="preserve">Clarification about the requirement to record physical examination in response to questions from sites. 12.1 Screening assessments. </w:t>
            </w:r>
          </w:p>
        </w:tc>
      </w:tr>
      <w:tr w:rsidR="00E3594F" w14:paraId="5F58B9A9" w14:textId="77777777" w:rsidTr="00E3594F">
        <w:tc>
          <w:tcPr>
            <w:tcW w:w="4508" w:type="dxa"/>
            <w:vMerge/>
          </w:tcPr>
          <w:p w14:paraId="7D49FF7B" w14:textId="37B4BB39" w:rsidR="00E3594F" w:rsidRDefault="00E3594F" w:rsidP="00E3594F">
            <w:pPr>
              <w:spacing w:line="240" w:lineRule="auto"/>
              <w:rPr>
                <w:lang w:eastAsia="en-GB"/>
              </w:rPr>
            </w:pPr>
          </w:p>
        </w:tc>
        <w:tc>
          <w:tcPr>
            <w:tcW w:w="4508" w:type="dxa"/>
          </w:tcPr>
          <w:p w14:paraId="1ADB04ED" w14:textId="3FFEE22D" w:rsidR="00E3594F" w:rsidRDefault="00E3594F" w:rsidP="00E3594F">
            <w:pPr>
              <w:spacing w:line="240" w:lineRule="auto"/>
              <w:jc w:val="both"/>
              <w:rPr>
                <w:lang w:eastAsia="en-GB"/>
              </w:rPr>
            </w:pPr>
            <w:r>
              <w:rPr>
                <w:lang w:eastAsia="en-GB"/>
              </w:rPr>
              <w:t>Change to allow inpatient administration of vaccine by a member of the clinical team who is not on the delegation log providing that a member of the study team is present and the PI is willing to take responsibility for the individual. This is to reduce obstacles in sites where the study team are not members of the inpatient clinical team. 12.3 Treatment procedure.</w:t>
            </w:r>
          </w:p>
        </w:tc>
      </w:tr>
      <w:tr w:rsidR="00E3594F" w14:paraId="33275398" w14:textId="77777777" w:rsidTr="00E3594F">
        <w:tc>
          <w:tcPr>
            <w:tcW w:w="4508" w:type="dxa"/>
            <w:vMerge/>
          </w:tcPr>
          <w:p w14:paraId="69D75FC2" w14:textId="381D69B8" w:rsidR="00E3594F" w:rsidRDefault="00E3594F" w:rsidP="00E3594F">
            <w:pPr>
              <w:spacing w:line="240" w:lineRule="auto"/>
              <w:rPr>
                <w:lang w:eastAsia="en-GB"/>
              </w:rPr>
            </w:pPr>
          </w:p>
        </w:tc>
        <w:tc>
          <w:tcPr>
            <w:tcW w:w="4508" w:type="dxa"/>
          </w:tcPr>
          <w:p w14:paraId="06818DBE" w14:textId="77777777" w:rsidR="00E3594F" w:rsidRDefault="00E3594F" w:rsidP="00E3594F">
            <w:pPr>
              <w:spacing w:line="240" w:lineRule="auto"/>
              <w:jc w:val="both"/>
              <w:rPr>
                <w:lang w:eastAsia="en-GB"/>
              </w:rPr>
            </w:pPr>
            <w:r>
              <w:rPr>
                <w:lang w:eastAsia="en-GB"/>
              </w:rPr>
              <w:t xml:space="preserve">Addition of more detail about administration of paracetamol following Bexsero to provide more information for sites. Inclusion of updated paracetamol administration record. 12.3 Treatment procedure and appendix 3. </w:t>
            </w:r>
          </w:p>
        </w:tc>
      </w:tr>
      <w:tr w:rsidR="00E3594F" w14:paraId="317F56A4" w14:textId="77777777" w:rsidTr="00E3594F">
        <w:tc>
          <w:tcPr>
            <w:tcW w:w="4508" w:type="dxa"/>
            <w:vMerge/>
          </w:tcPr>
          <w:p w14:paraId="06BEB016" w14:textId="1FC3C0FF" w:rsidR="00E3594F" w:rsidRDefault="00E3594F" w:rsidP="00E3594F">
            <w:pPr>
              <w:spacing w:line="240" w:lineRule="auto"/>
              <w:rPr>
                <w:lang w:eastAsia="en-GB"/>
              </w:rPr>
            </w:pPr>
          </w:p>
        </w:tc>
        <w:tc>
          <w:tcPr>
            <w:tcW w:w="4508" w:type="dxa"/>
          </w:tcPr>
          <w:p w14:paraId="5C75E281" w14:textId="77777777" w:rsidR="00E3594F" w:rsidRDefault="00E3594F" w:rsidP="00E3594F">
            <w:pPr>
              <w:spacing w:line="240" w:lineRule="auto"/>
              <w:jc w:val="both"/>
              <w:rPr>
                <w:lang w:eastAsia="en-GB"/>
              </w:rPr>
            </w:pPr>
            <w:r>
              <w:rPr>
                <w:lang w:eastAsia="en-GB"/>
              </w:rPr>
              <w:t>Change in amount of serum placed in cryovial to be sent to the central laboratory to 0.5mls in response to comments from the lab. 12.6.2.2 Processing samples at SGUL.</w:t>
            </w:r>
          </w:p>
        </w:tc>
      </w:tr>
      <w:tr w:rsidR="00E3594F" w14:paraId="00448CE9" w14:textId="77777777" w:rsidTr="00E3594F">
        <w:tc>
          <w:tcPr>
            <w:tcW w:w="4508" w:type="dxa"/>
            <w:vMerge/>
          </w:tcPr>
          <w:p w14:paraId="7D2B9B01" w14:textId="3799B781" w:rsidR="00E3594F" w:rsidRDefault="00E3594F" w:rsidP="00E3594F">
            <w:pPr>
              <w:spacing w:line="240" w:lineRule="auto"/>
              <w:rPr>
                <w:lang w:eastAsia="en-GB"/>
              </w:rPr>
            </w:pPr>
          </w:p>
        </w:tc>
        <w:tc>
          <w:tcPr>
            <w:tcW w:w="4508" w:type="dxa"/>
          </w:tcPr>
          <w:p w14:paraId="0CE675DE" w14:textId="77777777" w:rsidR="00E3594F" w:rsidRDefault="00E3594F" w:rsidP="00E3594F">
            <w:pPr>
              <w:spacing w:line="240" w:lineRule="auto"/>
              <w:jc w:val="both"/>
              <w:rPr>
                <w:lang w:eastAsia="en-GB"/>
              </w:rPr>
            </w:pPr>
            <w:r>
              <w:rPr>
                <w:lang w:eastAsia="en-GB"/>
              </w:rPr>
              <w:t xml:space="preserve">Change to allow CRFs to be emailed as well as posted to facilitate the return of CRFs. 14.3 Data handling and analysis. </w:t>
            </w:r>
          </w:p>
        </w:tc>
      </w:tr>
      <w:tr w:rsidR="00423DCE" w14:paraId="64F5959B" w14:textId="77777777" w:rsidTr="00E3594F">
        <w:tc>
          <w:tcPr>
            <w:tcW w:w="4508" w:type="dxa"/>
          </w:tcPr>
          <w:p w14:paraId="449DEA84" w14:textId="707B2031" w:rsidR="00423DCE" w:rsidRPr="00F917D9" w:rsidRDefault="00423DCE" w:rsidP="00423DCE">
            <w:pPr>
              <w:pStyle w:val="ListParagraph"/>
              <w:spacing w:line="240" w:lineRule="auto"/>
              <w:ind w:left="29"/>
              <w:rPr>
                <w:szCs w:val="23"/>
                <w:lang w:eastAsia="en-GB"/>
              </w:rPr>
            </w:pPr>
            <w:r w:rsidRPr="00D90476">
              <w:rPr>
                <w:szCs w:val="23"/>
                <w:lang w:eastAsia="en-GB"/>
              </w:rPr>
              <w:t xml:space="preserve">Amendment </w:t>
            </w:r>
            <w:r w:rsidRPr="00D416A4">
              <w:rPr>
                <w:szCs w:val="23"/>
                <w:lang w:eastAsia="en-GB"/>
              </w:rPr>
              <w:t xml:space="preserve">ID </w:t>
            </w:r>
            <w:r>
              <w:rPr>
                <w:szCs w:val="23"/>
                <w:lang w:eastAsia="en-GB"/>
              </w:rPr>
              <w:t>N</w:t>
            </w:r>
            <w:r w:rsidRPr="00F917D9">
              <w:rPr>
                <w:szCs w:val="23"/>
                <w:lang w:eastAsia="en-GB"/>
              </w:rPr>
              <w:t>SAM01</w:t>
            </w:r>
            <w:r w:rsidRPr="00F917D9">
              <w:rPr>
                <w:szCs w:val="23"/>
                <w:lang w:eastAsia="en-GB"/>
              </w:rPr>
              <w:t>_</w:t>
            </w:r>
            <w:r>
              <w:rPr>
                <w:szCs w:val="23"/>
                <w:lang w:eastAsia="en-GB"/>
              </w:rPr>
              <w:t xml:space="preserve"> </w:t>
            </w:r>
            <w:r w:rsidRPr="00D90476">
              <w:rPr>
                <w:szCs w:val="23"/>
                <w:lang w:eastAsia="en-GB"/>
              </w:rPr>
              <w:t xml:space="preserve">Protocol </w:t>
            </w:r>
            <w:r>
              <w:rPr>
                <w:szCs w:val="23"/>
                <w:lang w:eastAsia="en-GB"/>
              </w:rPr>
              <w:t xml:space="preserve"> Version 2.1, 02.08</w:t>
            </w:r>
            <w:r w:rsidRPr="00D416A4">
              <w:rPr>
                <w:szCs w:val="23"/>
                <w:lang w:eastAsia="en-GB"/>
              </w:rPr>
              <w:t>.18</w:t>
            </w:r>
            <w:bookmarkStart w:id="195" w:name="_GoBack"/>
          </w:p>
          <w:bookmarkEnd w:id="195"/>
          <w:p w14:paraId="14FB8CAF" w14:textId="77777777" w:rsidR="00423DCE" w:rsidRDefault="00423DCE" w:rsidP="00E3594F">
            <w:pPr>
              <w:spacing w:line="240" w:lineRule="auto"/>
              <w:rPr>
                <w:lang w:eastAsia="en-GB"/>
              </w:rPr>
            </w:pPr>
          </w:p>
        </w:tc>
        <w:tc>
          <w:tcPr>
            <w:tcW w:w="4508" w:type="dxa"/>
          </w:tcPr>
          <w:p w14:paraId="1150D484" w14:textId="3E8EF83A" w:rsidR="00423DCE" w:rsidRDefault="00423DCE" w:rsidP="00E3594F">
            <w:pPr>
              <w:spacing w:line="240" w:lineRule="auto"/>
              <w:jc w:val="both"/>
              <w:rPr>
                <w:lang w:eastAsia="en-GB"/>
              </w:rPr>
            </w:pPr>
            <w:r>
              <w:rPr>
                <w:lang w:eastAsia="en-GB"/>
              </w:rPr>
              <w:t>Change of primary completion date to March 2020</w:t>
            </w:r>
          </w:p>
        </w:tc>
      </w:tr>
    </w:tbl>
    <w:p w14:paraId="1EEE6F80" w14:textId="77777777" w:rsidR="00CB69DF" w:rsidRPr="003C5180" w:rsidRDefault="00CB69DF" w:rsidP="00295C0F">
      <w:pPr>
        <w:rPr>
          <w:sz w:val="22"/>
          <w:szCs w:val="22"/>
          <w:lang w:eastAsia="en-GB"/>
        </w:rPr>
      </w:pPr>
    </w:p>
    <w:p w14:paraId="3C3841F0" w14:textId="77777777" w:rsidR="003369D2" w:rsidRPr="003C5180" w:rsidRDefault="003369D2" w:rsidP="00295C0F">
      <w:pPr>
        <w:rPr>
          <w:lang w:eastAsia="en-GB"/>
        </w:rPr>
      </w:pPr>
    </w:p>
    <w:p w14:paraId="5546761E" w14:textId="77777777" w:rsidR="003369D2" w:rsidRPr="003C5180" w:rsidRDefault="003369D2" w:rsidP="00295C0F">
      <w:pPr>
        <w:rPr>
          <w:lang w:eastAsia="en-GB"/>
        </w:rPr>
        <w:sectPr w:rsidR="003369D2" w:rsidRPr="003C5180" w:rsidSect="00F4235D">
          <w:headerReference w:type="default" r:id="rId14"/>
          <w:footerReference w:type="even" r:id="rId15"/>
          <w:footerReference w:type="default" r:id="rId16"/>
          <w:endnotePr>
            <w:numFmt w:val="decimal"/>
          </w:endnotePr>
          <w:pgSz w:w="11906" w:h="16838"/>
          <w:pgMar w:top="425" w:right="1440" w:bottom="1440" w:left="1440" w:header="709" w:footer="709" w:gutter="0"/>
          <w:cols w:space="708"/>
          <w:docGrid w:linePitch="360"/>
        </w:sectPr>
      </w:pPr>
    </w:p>
    <w:tbl>
      <w:tblPr>
        <w:tblpPr w:leftFromText="180" w:rightFromText="180" w:vertAnchor="page" w:horzAnchor="margin" w:tblpY="30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1"/>
        <w:gridCol w:w="1164"/>
        <w:gridCol w:w="1031"/>
        <w:gridCol w:w="1032"/>
        <w:gridCol w:w="1032"/>
        <w:gridCol w:w="1032"/>
        <w:gridCol w:w="1032"/>
        <w:gridCol w:w="1032"/>
      </w:tblGrid>
      <w:tr w:rsidR="008A2D38" w:rsidRPr="003C5180" w14:paraId="44751CB2" w14:textId="77777777" w:rsidTr="00F4235D">
        <w:trPr>
          <w:trHeight w:val="630"/>
        </w:trPr>
        <w:tc>
          <w:tcPr>
            <w:tcW w:w="2415" w:type="dxa"/>
            <w:shd w:val="clear" w:color="auto" w:fill="FFC000"/>
            <w:vAlign w:val="center"/>
          </w:tcPr>
          <w:p w14:paraId="0B2E4640" w14:textId="77777777" w:rsidR="008A2D38" w:rsidRPr="003C5180" w:rsidRDefault="008A2D38" w:rsidP="001905CA">
            <w:pPr>
              <w:pStyle w:val="MediumGrid2-Accent11"/>
              <w:spacing w:after="0" w:line="240" w:lineRule="auto"/>
              <w:rPr>
                <w:rFonts w:cs="Tahoma"/>
                <w:b/>
                <w:sz w:val="20"/>
                <w:szCs w:val="20"/>
                <w:lang w:eastAsia="en-GB"/>
              </w:rPr>
            </w:pPr>
            <w:r w:rsidRPr="003C5180">
              <w:rPr>
                <w:rFonts w:cs="Tahoma"/>
                <w:b/>
                <w:sz w:val="20"/>
                <w:szCs w:val="20"/>
                <w:lang w:eastAsia="en-GB"/>
              </w:rPr>
              <w:t>Study Procedures</w:t>
            </w:r>
          </w:p>
        </w:tc>
        <w:tc>
          <w:tcPr>
            <w:tcW w:w="1639" w:type="dxa"/>
            <w:shd w:val="clear" w:color="auto" w:fill="FFC000"/>
          </w:tcPr>
          <w:p w14:paraId="0949C791" w14:textId="77777777" w:rsidR="008A2D38" w:rsidRPr="003C5180" w:rsidRDefault="008A2D38" w:rsidP="001905CA">
            <w:pPr>
              <w:pStyle w:val="MediumGrid2-Accent11"/>
              <w:spacing w:after="0" w:line="240" w:lineRule="auto"/>
              <w:jc w:val="center"/>
              <w:rPr>
                <w:rFonts w:cs="Tahoma"/>
                <w:b/>
                <w:sz w:val="20"/>
                <w:szCs w:val="20"/>
                <w:lang w:eastAsia="en-GB"/>
              </w:rPr>
            </w:pPr>
            <w:r>
              <w:rPr>
                <w:rFonts w:cs="Tahoma"/>
                <w:b/>
                <w:sz w:val="20"/>
                <w:szCs w:val="20"/>
                <w:lang w:eastAsia="en-GB"/>
              </w:rPr>
              <w:t>Screening</w:t>
            </w:r>
          </w:p>
        </w:tc>
        <w:tc>
          <w:tcPr>
            <w:tcW w:w="1649" w:type="dxa"/>
            <w:shd w:val="clear" w:color="auto" w:fill="FFC000"/>
            <w:vAlign w:val="center"/>
          </w:tcPr>
          <w:p w14:paraId="6E79AFA2" w14:textId="77777777" w:rsidR="008A2D38" w:rsidRDefault="008A2D38" w:rsidP="00F4235D">
            <w:pPr>
              <w:pStyle w:val="MediumGrid2-Accent11"/>
              <w:spacing w:after="0" w:line="240" w:lineRule="auto"/>
              <w:jc w:val="center"/>
              <w:rPr>
                <w:rFonts w:cs="Tahoma"/>
                <w:b/>
                <w:sz w:val="20"/>
                <w:szCs w:val="20"/>
                <w:lang w:eastAsia="en-GB"/>
              </w:rPr>
            </w:pPr>
            <w:r w:rsidRPr="003C5180">
              <w:rPr>
                <w:rFonts w:cs="Tahoma"/>
                <w:b/>
                <w:sz w:val="20"/>
                <w:szCs w:val="20"/>
                <w:lang w:eastAsia="en-GB"/>
              </w:rPr>
              <w:t>V1</w:t>
            </w:r>
          </w:p>
          <w:p w14:paraId="4D53CF44" w14:textId="77777777" w:rsidR="008A2D38" w:rsidRPr="003C5180"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2 months</w:t>
            </w:r>
          </w:p>
        </w:tc>
        <w:tc>
          <w:tcPr>
            <w:tcW w:w="1649" w:type="dxa"/>
            <w:tcBorders>
              <w:right w:val="single" w:sz="4" w:space="0" w:color="auto"/>
            </w:tcBorders>
            <w:shd w:val="clear" w:color="auto" w:fill="FFC000"/>
          </w:tcPr>
          <w:p w14:paraId="23432F75" w14:textId="77777777" w:rsidR="008A2D38"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V2</w:t>
            </w:r>
          </w:p>
          <w:p w14:paraId="6380677B" w14:textId="77777777" w:rsidR="008A2D38" w:rsidRPr="003C5180"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3 months</w:t>
            </w:r>
          </w:p>
        </w:tc>
        <w:tc>
          <w:tcPr>
            <w:tcW w:w="1649" w:type="dxa"/>
            <w:tcBorders>
              <w:left w:val="single" w:sz="4" w:space="0" w:color="auto"/>
            </w:tcBorders>
            <w:shd w:val="clear" w:color="auto" w:fill="FFC000"/>
          </w:tcPr>
          <w:p w14:paraId="500EBA91" w14:textId="77777777" w:rsidR="008A2D38"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V3</w:t>
            </w:r>
          </w:p>
          <w:p w14:paraId="60182131" w14:textId="77777777" w:rsidR="008A2D38" w:rsidRPr="003C5180"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4 months</w:t>
            </w:r>
          </w:p>
        </w:tc>
        <w:tc>
          <w:tcPr>
            <w:tcW w:w="1649" w:type="dxa"/>
            <w:tcBorders>
              <w:right w:val="single" w:sz="4" w:space="0" w:color="auto"/>
            </w:tcBorders>
            <w:shd w:val="clear" w:color="auto" w:fill="FFC000"/>
          </w:tcPr>
          <w:p w14:paraId="18BE50CF" w14:textId="77777777" w:rsidR="008A2D38"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V4</w:t>
            </w:r>
          </w:p>
          <w:p w14:paraId="582EE047" w14:textId="77777777" w:rsidR="008A2D38" w:rsidRPr="003C5180"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5 months</w:t>
            </w:r>
          </w:p>
        </w:tc>
        <w:tc>
          <w:tcPr>
            <w:tcW w:w="1649" w:type="dxa"/>
            <w:tcBorders>
              <w:left w:val="single" w:sz="4" w:space="0" w:color="auto"/>
            </w:tcBorders>
            <w:shd w:val="clear" w:color="auto" w:fill="FFC000"/>
          </w:tcPr>
          <w:p w14:paraId="195EDDC9" w14:textId="77777777" w:rsidR="008A2D38" w:rsidRDefault="008A2D38" w:rsidP="00F4235D">
            <w:pPr>
              <w:pStyle w:val="MediumGrid2-Accent11"/>
              <w:spacing w:after="0" w:line="240" w:lineRule="auto"/>
              <w:jc w:val="center"/>
              <w:rPr>
                <w:rFonts w:cs="Tahoma"/>
                <w:b/>
                <w:sz w:val="20"/>
                <w:szCs w:val="20"/>
                <w:lang w:eastAsia="en-GB"/>
              </w:rPr>
            </w:pPr>
            <w:r w:rsidRPr="003C5180">
              <w:rPr>
                <w:rFonts w:cs="Tahoma"/>
                <w:b/>
                <w:sz w:val="20"/>
                <w:szCs w:val="20"/>
                <w:lang w:eastAsia="en-GB"/>
              </w:rPr>
              <w:t>V5</w:t>
            </w:r>
          </w:p>
          <w:p w14:paraId="676F2143" w14:textId="77777777" w:rsidR="008A2D38" w:rsidRPr="003C5180"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12 months</w:t>
            </w:r>
          </w:p>
        </w:tc>
        <w:tc>
          <w:tcPr>
            <w:tcW w:w="1649" w:type="dxa"/>
            <w:tcBorders>
              <w:right w:val="single" w:sz="4" w:space="0" w:color="auto"/>
            </w:tcBorders>
            <w:shd w:val="clear" w:color="auto" w:fill="FFC000"/>
            <w:vAlign w:val="center"/>
          </w:tcPr>
          <w:p w14:paraId="2D5BFEDA" w14:textId="77777777" w:rsidR="008A2D38" w:rsidRDefault="008A2D38" w:rsidP="00F4235D">
            <w:pPr>
              <w:pStyle w:val="MediumGrid2-Accent11"/>
              <w:spacing w:after="0" w:line="240" w:lineRule="auto"/>
              <w:jc w:val="center"/>
              <w:rPr>
                <w:rFonts w:cs="Tahoma"/>
                <w:b/>
                <w:sz w:val="20"/>
                <w:szCs w:val="20"/>
                <w:lang w:eastAsia="en-GB"/>
              </w:rPr>
            </w:pPr>
            <w:r w:rsidRPr="003C5180">
              <w:rPr>
                <w:rFonts w:cs="Tahoma"/>
                <w:b/>
                <w:sz w:val="20"/>
                <w:szCs w:val="20"/>
                <w:lang w:eastAsia="en-GB"/>
              </w:rPr>
              <w:t>V6</w:t>
            </w:r>
          </w:p>
          <w:p w14:paraId="3D4CC02C" w14:textId="77777777" w:rsidR="008A2D38" w:rsidRPr="003C5180" w:rsidRDefault="008A2D38" w:rsidP="00F4235D">
            <w:pPr>
              <w:pStyle w:val="MediumGrid2-Accent11"/>
              <w:spacing w:after="0" w:line="240" w:lineRule="auto"/>
              <w:jc w:val="center"/>
              <w:rPr>
                <w:rFonts w:cs="Tahoma"/>
                <w:b/>
                <w:sz w:val="20"/>
                <w:szCs w:val="20"/>
                <w:lang w:eastAsia="en-GB"/>
              </w:rPr>
            </w:pPr>
            <w:r>
              <w:rPr>
                <w:rFonts w:cs="Tahoma"/>
                <w:b/>
                <w:sz w:val="20"/>
                <w:szCs w:val="20"/>
                <w:lang w:eastAsia="en-GB"/>
              </w:rPr>
              <w:t>13 months</w:t>
            </w:r>
          </w:p>
        </w:tc>
      </w:tr>
      <w:tr w:rsidR="008A2D38" w:rsidRPr="003C5180" w14:paraId="2D31A258" w14:textId="77777777" w:rsidTr="00F4235D">
        <w:trPr>
          <w:trHeight w:val="259"/>
        </w:trPr>
        <w:tc>
          <w:tcPr>
            <w:tcW w:w="2415" w:type="dxa"/>
            <w:tcBorders>
              <w:top w:val="single" w:sz="4" w:space="0" w:color="auto"/>
            </w:tcBorders>
            <w:vAlign w:val="center"/>
          </w:tcPr>
          <w:p w14:paraId="5BDAA1CB"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Informed consent</w:t>
            </w:r>
          </w:p>
        </w:tc>
        <w:tc>
          <w:tcPr>
            <w:tcW w:w="1639" w:type="dxa"/>
            <w:tcBorders>
              <w:top w:val="single" w:sz="4" w:space="0" w:color="auto"/>
            </w:tcBorders>
          </w:tcPr>
          <w:p w14:paraId="6D7DCD5F"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r w:rsidRPr="001905CA">
              <w:rPr>
                <w:rFonts w:ascii="Segoe UI Symbol" w:hAnsi="Segoe UI Symbol" w:cs="Segoe UI Symbol"/>
                <w:lang w:eastAsia="en-GB"/>
              </w:rPr>
              <w:t>✓</w:t>
            </w:r>
          </w:p>
        </w:tc>
        <w:tc>
          <w:tcPr>
            <w:tcW w:w="1649" w:type="dxa"/>
            <w:tcBorders>
              <w:top w:val="single" w:sz="4" w:space="0" w:color="auto"/>
            </w:tcBorders>
            <w:vAlign w:val="center"/>
          </w:tcPr>
          <w:p w14:paraId="0E3CB38B"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top w:val="single" w:sz="4" w:space="0" w:color="auto"/>
              <w:right w:val="single" w:sz="4" w:space="0" w:color="auto"/>
            </w:tcBorders>
          </w:tcPr>
          <w:p w14:paraId="49C0A30D"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top w:val="single" w:sz="4" w:space="0" w:color="auto"/>
              <w:left w:val="single" w:sz="4" w:space="0" w:color="auto"/>
            </w:tcBorders>
          </w:tcPr>
          <w:p w14:paraId="7E3C1577"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top w:val="single" w:sz="4" w:space="0" w:color="auto"/>
              <w:right w:val="single" w:sz="4" w:space="0" w:color="auto"/>
            </w:tcBorders>
          </w:tcPr>
          <w:p w14:paraId="62107E13"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top w:val="single" w:sz="4" w:space="0" w:color="auto"/>
              <w:left w:val="single" w:sz="4" w:space="0" w:color="auto"/>
            </w:tcBorders>
          </w:tcPr>
          <w:p w14:paraId="2DC184E2"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top w:val="single" w:sz="4" w:space="0" w:color="auto"/>
              <w:right w:val="single" w:sz="4" w:space="0" w:color="auto"/>
            </w:tcBorders>
            <w:vAlign w:val="center"/>
          </w:tcPr>
          <w:p w14:paraId="74138DBE"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658A5C01" w14:textId="77777777" w:rsidTr="00F4235D">
        <w:trPr>
          <w:trHeight w:val="540"/>
        </w:trPr>
        <w:tc>
          <w:tcPr>
            <w:tcW w:w="2415" w:type="dxa"/>
            <w:vAlign w:val="center"/>
          </w:tcPr>
          <w:p w14:paraId="642DC83B"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Eligibility check</w:t>
            </w:r>
          </w:p>
        </w:tc>
        <w:tc>
          <w:tcPr>
            <w:tcW w:w="1639" w:type="dxa"/>
          </w:tcPr>
          <w:p w14:paraId="4B677D76"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r w:rsidRPr="001905CA">
              <w:rPr>
                <w:rFonts w:ascii="Segoe UI Symbol" w:hAnsi="Segoe UI Symbol" w:cs="Segoe UI Symbol"/>
                <w:lang w:eastAsia="en-GB"/>
              </w:rPr>
              <w:t>✓</w:t>
            </w:r>
          </w:p>
        </w:tc>
        <w:tc>
          <w:tcPr>
            <w:tcW w:w="1649" w:type="dxa"/>
            <w:vAlign w:val="center"/>
          </w:tcPr>
          <w:p w14:paraId="5C4505A3"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5EF61C06"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229DFBE8"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21D5B213"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1E1D3E9F"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top w:val="nil"/>
              <w:right w:val="single" w:sz="4" w:space="0" w:color="auto"/>
            </w:tcBorders>
            <w:vAlign w:val="center"/>
          </w:tcPr>
          <w:p w14:paraId="62F82AAF"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0DFD4346" w14:textId="77777777" w:rsidTr="00F4235D">
        <w:trPr>
          <w:trHeight w:val="518"/>
        </w:trPr>
        <w:tc>
          <w:tcPr>
            <w:tcW w:w="2415" w:type="dxa"/>
            <w:vAlign w:val="center"/>
          </w:tcPr>
          <w:p w14:paraId="07F889CD"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Medical history</w:t>
            </w:r>
          </w:p>
        </w:tc>
        <w:tc>
          <w:tcPr>
            <w:tcW w:w="1639" w:type="dxa"/>
          </w:tcPr>
          <w:p w14:paraId="64CB457A"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65354883"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482BB8B5"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5059DFE7"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22EF8D31"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5B085655"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vAlign w:val="center"/>
          </w:tcPr>
          <w:p w14:paraId="69E4EA4C"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707033F1" w14:textId="77777777" w:rsidTr="00F4235D">
        <w:trPr>
          <w:trHeight w:val="259"/>
        </w:trPr>
        <w:tc>
          <w:tcPr>
            <w:tcW w:w="2415" w:type="dxa"/>
            <w:vAlign w:val="center"/>
          </w:tcPr>
          <w:p w14:paraId="480A89DA"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Concomitant medication</w:t>
            </w:r>
          </w:p>
        </w:tc>
        <w:tc>
          <w:tcPr>
            <w:tcW w:w="1639" w:type="dxa"/>
          </w:tcPr>
          <w:p w14:paraId="57575D97"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4DAE4B30"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32874868"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0AF17AB4"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6CFCF25A"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3EEA51EB"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3E557B83"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r>
      <w:tr w:rsidR="008A2D38" w:rsidRPr="003C5180" w14:paraId="6D09510E" w14:textId="77777777" w:rsidTr="00F4235D">
        <w:trPr>
          <w:trHeight w:val="259"/>
        </w:trPr>
        <w:tc>
          <w:tcPr>
            <w:tcW w:w="2415" w:type="dxa"/>
            <w:vAlign w:val="center"/>
          </w:tcPr>
          <w:p w14:paraId="1B859F36"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Record of physical examination</w:t>
            </w:r>
          </w:p>
        </w:tc>
        <w:tc>
          <w:tcPr>
            <w:tcW w:w="1639" w:type="dxa"/>
          </w:tcPr>
          <w:p w14:paraId="70399B6D"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6D0CA95E"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9CA7642"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0727863D"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125597D9"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78AF1075"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vAlign w:val="center"/>
          </w:tcPr>
          <w:p w14:paraId="6F175448"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6DBFF552" w14:textId="77777777" w:rsidTr="008A2D38">
        <w:trPr>
          <w:trHeight w:val="259"/>
        </w:trPr>
        <w:tc>
          <w:tcPr>
            <w:tcW w:w="2415" w:type="dxa"/>
            <w:vAlign w:val="center"/>
          </w:tcPr>
          <w:p w14:paraId="19776C84" w14:textId="77777777" w:rsidR="008A2D38" w:rsidRPr="003C5180" w:rsidRDefault="008A2D38" w:rsidP="001905CA">
            <w:pPr>
              <w:pStyle w:val="MediumGrid2-Accent11"/>
              <w:spacing w:after="0" w:line="240" w:lineRule="auto"/>
              <w:rPr>
                <w:rFonts w:cs="Tahoma"/>
                <w:sz w:val="20"/>
                <w:szCs w:val="20"/>
                <w:lang w:eastAsia="en-GB"/>
              </w:rPr>
            </w:pPr>
            <w:r>
              <w:rPr>
                <w:rFonts w:cs="Tahoma"/>
                <w:sz w:val="20"/>
                <w:szCs w:val="20"/>
                <w:lang w:eastAsia="en-GB"/>
              </w:rPr>
              <w:t>Randomisation</w:t>
            </w:r>
          </w:p>
        </w:tc>
        <w:tc>
          <w:tcPr>
            <w:tcW w:w="1639" w:type="dxa"/>
          </w:tcPr>
          <w:p w14:paraId="158AC31F"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076C3476" w14:textId="2D354730" w:rsidR="008A2D38" w:rsidRPr="001905CA" w:rsidRDefault="003A6F5A" w:rsidP="001905CA">
            <w:pPr>
              <w:pStyle w:val="MediumGrid2-Accent11"/>
              <w:spacing w:after="0" w:line="240" w:lineRule="auto"/>
              <w:jc w:val="center"/>
              <w:rPr>
                <w:rFonts w:ascii="Segoe UI Symbol" w:hAnsi="Segoe UI Symbol"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5D254F2F"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tcBorders>
              <w:left w:val="single" w:sz="4" w:space="0" w:color="auto"/>
            </w:tcBorders>
          </w:tcPr>
          <w:p w14:paraId="7B5BA060"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tcBorders>
              <w:right w:val="single" w:sz="4" w:space="0" w:color="auto"/>
            </w:tcBorders>
          </w:tcPr>
          <w:p w14:paraId="05248F12"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66915351"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tcBorders>
              <w:right w:val="single" w:sz="4" w:space="0" w:color="auto"/>
            </w:tcBorders>
            <w:vAlign w:val="center"/>
          </w:tcPr>
          <w:p w14:paraId="703649F3"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2C96BF7A" w14:textId="77777777" w:rsidTr="00F4235D">
        <w:trPr>
          <w:trHeight w:val="259"/>
        </w:trPr>
        <w:tc>
          <w:tcPr>
            <w:tcW w:w="2415" w:type="dxa"/>
            <w:vAlign w:val="center"/>
          </w:tcPr>
          <w:p w14:paraId="78334957"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Dispensing of vaccines</w:t>
            </w:r>
          </w:p>
        </w:tc>
        <w:tc>
          <w:tcPr>
            <w:tcW w:w="1639" w:type="dxa"/>
          </w:tcPr>
          <w:p w14:paraId="629186DD"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03EFBAA9"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ED887DD"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73E0F20A"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7B251C9"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2EF85214"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07719CBD"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69130421" w14:textId="77777777" w:rsidTr="00F4235D">
        <w:trPr>
          <w:trHeight w:val="259"/>
        </w:trPr>
        <w:tc>
          <w:tcPr>
            <w:tcW w:w="2415" w:type="dxa"/>
            <w:vAlign w:val="center"/>
          </w:tcPr>
          <w:p w14:paraId="2E3C635E"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Administration of vaccinations</w:t>
            </w:r>
          </w:p>
        </w:tc>
        <w:tc>
          <w:tcPr>
            <w:tcW w:w="1639" w:type="dxa"/>
          </w:tcPr>
          <w:p w14:paraId="5DBCE1E4"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3232D261"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62BD91F4"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1D9518C1"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7BE37927"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60ABD396"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3AE11C9A"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0C026E6E" w14:textId="77777777" w:rsidTr="00F4235D">
        <w:trPr>
          <w:trHeight w:val="259"/>
        </w:trPr>
        <w:tc>
          <w:tcPr>
            <w:tcW w:w="2415" w:type="dxa"/>
            <w:vAlign w:val="center"/>
          </w:tcPr>
          <w:p w14:paraId="19924B12"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Observation following vaccine administration</w:t>
            </w:r>
          </w:p>
        </w:tc>
        <w:tc>
          <w:tcPr>
            <w:tcW w:w="1639" w:type="dxa"/>
          </w:tcPr>
          <w:p w14:paraId="1C56A64B"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433639ED"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2591929"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7F26E81F"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2A3F03D"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36441B1E"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6DD12842"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4E215332" w14:textId="77777777" w:rsidTr="00F4235D">
        <w:trPr>
          <w:trHeight w:val="259"/>
        </w:trPr>
        <w:tc>
          <w:tcPr>
            <w:tcW w:w="2415" w:type="dxa"/>
            <w:vAlign w:val="center"/>
          </w:tcPr>
          <w:p w14:paraId="54532E94"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Completion of red book and letter to GP</w:t>
            </w:r>
          </w:p>
        </w:tc>
        <w:tc>
          <w:tcPr>
            <w:tcW w:w="1639" w:type="dxa"/>
          </w:tcPr>
          <w:p w14:paraId="162EBB96"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19DF187A"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EBAAF87"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left w:val="single" w:sz="4" w:space="0" w:color="auto"/>
            </w:tcBorders>
          </w:tcPr>
          <w:p w14:paraId="7AEC9226"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60AFC047"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51704307"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5AC83836" w14:textId="77777777" w:rsidR="008A2D38" w:rsidRPr="003C5180" w:rsidRDefault="008A2D38" w:rsidP="001905CA">
            <w:pPr>
              <w:pStyle w:val="MediumGrid2-Accent11"/>
              <w:spacing w:after="0" w:line="240" w:lineRule="auto"/>
              <w:jc w:val="center"/>
              <w:rPr>
                <w:rFonts w:cs="Tahoma"/>
                <w:sz w:val="16"/>
                <w:szCs w:val="16"/>
                <w:lang w:eastAsia="en-GB"/>
              </w:rPr>
            </w:pPr>
          </w:p>
        </w:tc>
      </w:tr>
      <w:tr w:rsidR="008A2D38" w:rsidRPr="003C5180" w14:paraId="157640C4" w14:textId="77777777" w:rsidTr="00F4235D">
        <w:trPr>
          <w:trHeight w:val="259"/>
        </w:trPr>
        <w:tc>
          <w:tcPr>
            <w:tcW w:w="2415" w:type="dxa"/>
            <w:vAlign w:val="center"/>
          </w:tcPr>
          <w:p w14:paraId="6F818E5C"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Blood sampling</w:t>
            </w:r>
          </w:p>
        </w:tc>
        <w:tc>
          <w:tcPr>
            <w:tcW w:w="1639" w:type="dxa"/>
          </w:tcPr>
          <w:p w14:paraId="583F6086"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vAlign w:val="center"/>
          </w:tcPr>
          <w:p w14:paraId="1266CD53"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0CDF9810"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78D9460C"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426128F4"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246CF661"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0334A3A2"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r>
      <w:tr w:rsidR="008A2D38" w:rsidRPr="003C5180" w14:paraId="6E216E6B" w14:textId="77777777" w:rsidTr="00F4235D">
        <w:trPr>
          <w:trHeight w:val="259"/>
        </w:trPr>
        <w:tc>
          <w:tcPr>
            <w:tcW w:w="2415" w:type="dxa"/>
            <w:vAlign w:val="center"/>
          </w:tcPr>
          <w:p w14:paraId="749F5A8C"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Processing blood samples</w:t>
            </w:r>
          </w:p>
        </w:tc>
        <w:tc>
          <w:tcPr>
            <w:tcW w:w="1639" w:type="dxa"/>
          </w:tcPr>
          <w:p w14:paraId="2061984F"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vAlign w:val="center"/>
          </w:tcPr>
          <w:p w14:paraId="5B1CD475"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7C0F6A76"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left w:val="single" w:sz="4" w:space="0" w:color="auto"/>
            </w:tcBorders>
          </w:tcPr>
          <w:p w14:paraId="76742886" w14:textId="77777777" w:rsidR="008A2D38" w:rsidRPr="003C5180" w:rsidRDefault="008A2D38" w:rsidP="001905CA">
            <w:pPr>
              <w:pStyle w:val="MediumGrid2-Accent11"/>
              <w:spacing w:after="0" w:line="240" w:lineRule="auto"/>
              <w:jc w:val="center"/>
              <w:rPr>
                <w:rFonts w:cs="Tahoma"/>
                <w:sz w:val="16"/>
                <w:szCs w:val="16"/>
                <w:lang w:eastAsia="en-GB"/>
              </w:rPr>
            </w:pPr>
          </w:p>
        </w:tc>
        <w:tc>
          <w:tcPr>
            <w:tcW w:w="1649" w:type="dxa"/>
            <w:tcBorders>
              <w:right w:val="single" w:sz="4" w:space="0" w:color="auto"/>
            </w:tcBorders>
          </w:tcPr>
          <w:p w14:paraId="6143A007"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7A5F166A"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2CEBD399"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r>
      <w:tr w:rsidR="008A2D38" w:rsidRPr="003C5180" w14:paraId="172F9F38" w14:textId="77777777" w:rsidTr="00F4235D">
        <w:trPr>
          <w:trHeight w:val="259"/>
        </w:trPr>
        <w:tc>
          <w:tcPr>
            <w:tcW w:w="2415" w:type="dxa"/>
            <w:vAlign w:val="center"/>
          </w:tcPr>
          <w:p w14:paraId="1395F6E9"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Distribution of diary card</w:t>
            </w:r>
          </w:p>
        </w:tc>
        <w:tc>
          <w:tcPr>
            <w:tcW w:w="1639" w:type="dxa"/>
          </w:tcPr>
          <w:p w14:paraId="7B2DFBD1" w14:textId="77777777" w:rsidR="008A2D38" w:rsidRPr="001905CA" w:rsidRDefault="008A2D38" w:rsidP="001905CA">
            <w:pPr>
              <w:pStyle w:val="MediumGrid2-Accent11"/>
              <w:spacing w:after="0" w:line="240" w:lineRule="auto"/>
              <w:jc w:val="center"/>
              <w:rPr>
                <w:rFonts w:ascii="Segoe UI Symbol" w:hAnsi="Segoe UI Symbol" w:cs="Segoe UI Symbol"/>
                <w:lang w:eastAsia="en-GB"/>
              </w:rPr>
            </w:pPr>
          </w:p>
        </w:tc>
        <w:tc>
          <w:tcPr>
            <w:tcW w:w="1649" w:type="dxa"/>
            <w:vAlign w:val="center"/>
          </w:tcPr>
          <w:p w14:paraId="2E228374"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7D19BCCC"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left w:val="single" w:sz="4" w:space="0" w:color="auto"/>
            </w:tcBorders>
          </w:tcPr>
          <w:p w14:paraId="5F6CDF22" w14:textId="77777777" w:rsidR="008A2D38" w:rsidRPr="003C5180" w:rsidRDefault="008A2D38" w:rsidP="001905CA">
            <w:pPr>
              <w:pStyle w:val="MediumGrid2-Accent11"/>
              <w:spacing w:after="0" w:line="240" w:lineRule="auto"/>
              <w:jc w:val="center"/>
              <w:rPr>
                <w:rFonts w:cs="Tahoma"/>
                <w:sz w:val="16"/>
                <w:szCs w:val="16"/>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6EB91376" w14:textId="77777777" w:rsidR="008A2D38" w:rsidRPr="003C5180" w:rsidRDefault="008A2D38" w:rsidP="001905CA">
            <w:pPr>
              <w:pStyle w:val="MediumGrid2-Accent11"/>
              <w:spacing w:after="0" w:line="240" w:lineRule="auto"/>
              <w:jc w:val="center"/>
              <w:rPr>
                <w:rFonts w:cs="Segoe UI Symbol"/>
                <w:lang w:eastAsia="en-GB"/>
              </w:rPr>
            </w:pPr>
          </w:p>
        </w:tc>
        <w:tc>
          <w:tcPr>
            <w:tcW w:w="1649" w:type="dxa"/>
            <w:tcBorders>
              <w:left w:val="single" w:sz="4" w:space="0" w:color="auto"/>
            </w:tcBorders>
          </w:tcPr>
          <w:p w14:paraId="4D2C7639"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3DC05953" w14:textId="77777777" w:rsidR="008A2D38" w:rsidRPr="003C5180" w:rsidRDefault="008A2D38" w:rsidP="001905CA">
            <w:pPr>
              <w:pStyle w:val="MediumGrid2-Accent11"/>
              <w:spacing w:after="0" w:line="240" w:lineRule="auto"/>
              <w:jc w:val="center"/>
              <w:rPr>
                <w:rFonts w:cs="Segoe UI Symbol"/>
                <w:lang w:eastAsia="en-GB"/>
              </w:rPr>
            </w:pPr>
          </w:p>
        </w:tc>
      </w:tr>
      <w:tr w:rsidR="008A2D38" w:rsidRPr="003C5180" w14:paraId="64512B10" w14:textId="77777777" w:rsidTr="00F4235D">
        <w:trPr>
          <w:trHeight w:val="259"/>
        </w:trPr>
        <w:tc>
          <w:tcPr>
            <w:tcW w:w="2415" w:type="dxa"/>
            <w:vAlign w:val="center"/>
          </w:tcPr>
          <w:p w14:paraId="18FBE78F"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Checking diary card with parents</w:t>
            </w:r>
          </w:p>
        </w:tc>
        <w:tc>
          <w:tcPr>
            <w:tcW w:w="1639" w:type="dxa"/>
          </w:tcPr>
          <w:p w14:paraId="12EF25FB" w14:textId="77777777" w:rsidR="008A2D38" w:rsidRPr="003C5180" w:rsidRDefault="008A2D38" w:rsidP="001905CA">
            <w:pPr>
              <w:pStyle w:val="MediumGrid2-Accent11"/>
              <w:spacing w:after="0" w:line="240" w:lineRule="auto"/>
              <w:jc w:val="center"/>
              <w:rPr>
                <w:rFonts w:cs="Segoe UI Symbol"/>
                <w:lang w:eastAsia="en-GB"/>
              </w:rPr>
            </w:pPr>
          </w:p>
        </w:tc>
        <w:tc>
          <w:tcPr>
            <w:tcW w:w="1649" w:type="dxa"/>
            <w:vAlign w:val="center"/>
          </w:tcPr>
          <w:p w14:paraId="7B90B72B" w14:textId="77777777" w:rsidR="008A2D38" w:rsidRPr="003C5180" w:rsidRDefault="008A2D38" w:rsidP="001905CA">
            <w:pPr>
              <w:pStyle w:val="MediumGrid2-Accent11"/>
              <w:spacing w:after="0" w:line="240" w:lineRule="auto"/>
              <w:jc w:val="center"/>
              <w:rPr>
                <w:rFonts w:cs="Segoe UI Symbol"/>
                <w:lang w:eastAsia="en-GB"/>
              </w:rPr>
            </w:pPr>
          </w:p>
        </w:tc>
        <w:tc>
          <w:tcPr>
            <w:tcW w:w="1649" w:type="dxa"/>
            <w:tcBorders>
              <w:right w:val="single" w:sz="4" w:space="0" w:color="auto"/>
            </w:tcBorders>
          </w:tcPr>
          <w:p w14:paraId="79CFD42B"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left w:val="single" w:sz="4" w:space="0" w:color="auto"/>
            </w:tcBorders>
          </w:tcPr>
          <w:p w14:paraId="350B7706"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13E1EF55"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left w:val="single" w:sz="4" w:space="0" w:color="auto"/>
            </w:tcBorders>
          </w:tcPr>
          <w:p w14:paraId="5DA754A9" w14:textId="77777777" w:rsidR="008A2D38" w:rsidRPr="003C5180" w:rsidRDefault="008A2D38" w:rsidP="001905CA">
            <w:pPr>
              <w:pStyle w:val="MediumGrid2-Accent11"/>
              <w:spacing w:after="0" w:line="240" w:lineRule="auto"/>
              <w:jc w:val="center"/>
              <w:rPr>
                <w:rFonts w:cs="Segoe UI Symbol"/>
                <w:lang w:eastAsia="en-GB"/>
              </w:rPr>
            </w:pPr>
          </w:p>
        </w:tc>
        <w:tc>
          <w:tcPr>
            <w:tcW w:w="1649" w:type="dxa"/>
            <w:tcBorders>
              <w:right w:val="single" w:sz="4" w:space="0" w:color="auto"/>
            </w:tcBorders>
            <w:vAlign w:val="center"/>
          </w:tcPr>
          <w:p w14:paraId="7767CDDA"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r>
      <w:tr w:rsidR="008A2D38" w:rsidRPr="003C5180" w14:paraId="2A0C03B3" w14:textId="77777777" w:rsidTr="00F4235D">
        <w:trPr>
          <w:trHeight w:val="259"/>
        </w:trPr>
        <w:tc>
          <w:tcPr>
            <w:tcW w:w="2415" w:type="dxa"/>
            <w:vAlign w:val="center"/>
          </w:tcPr>
          <w:p w14:paraId="18EE0338" w14:textId="77777777" w:rsidR="008A2D38" w:rsidRPr="003C5180" w:rsidRDefault="008A2D38" w:rsidP="001905CA">
            <w:pPr>
              <w:pStyle w:val="MediumGrid2-Accent11"/>
              <w:spacing w:after="0" w:line="240" w:lineRule="auto"/>
              <w:rPr>
                <w:rFonts w:cs="Tahoma"/>
                <w:sz w:val="20"/>
                <w:szCs w:val="20"/>
                <w:lang w:eastAsia="en-GB"/>
              </w:rPr>
            </w:pPr>
            <w:r w:rsidRPr="003C5180">
              <w:rPr>
                <w:rFonts w:cs="Tahoma"/>
                <w:sz w:val="20"/>
                <w:szCs w:val="20"/>
                <w:lang w:eastAsia="en-GB"/>
              </w:rPr>
              <w:t xml:space="preserve">Checking for </w:t>
            </w:r>
            <w:r>
              <w:rPr>
                <w:rFonts w:cs="Tahoma"/>
                <w:sz w:val="20"/>
                <w:szCs w:val="20"/>
                <w:lang w:eastAsia="en-GB"/>
              </w:rPr>
              <w:t>AEs/</w:t>
            </w:r>
            <w:r w:rsidRPr="003C5180">
              <w:rPr>
                <w:rFonts w:cs="Tahoma"/>
                <w:sz w:val="20"/>
                <w:szCs w:val="20"/>
                <w:lang w:eastAsia="en-GB"/>
              </w:rPr>
              <w:t>SAEs</w:t>
            </w:r>
          </w:p>
        </w:tc>
        <w:tc>
          <w:tcPr>
            <w:tcW w:w="1639" w:type="dxa"/>
          </w:tcPr>
          <w:p w14:paraId="7DFE3F3A" w14:textId="77777777" w:rsidR="008A2D38" w:rsidRPr="003C5180" w:rsidRDefault="008A2D38" w:rsidP="001905CA">
            <w:pPr>
              <w:pStyle w:val="MediumGrid2-Accent11"/>
              <w:spacing w:after="0" w:line="240" w:lineRule="auto"/>
              <w:jc w:val="center"/>
              <w:rPr>
                <w:rFonts w:cs="Segoe UI Symbol"/>
                <w:lang w:eastAsia="en-GB"/>
              </w:rPr>
            </w:pPr>
          </w:p>
        </w:tc>
        <w:tc>
          <w:tcPr>
            <w:tcW w:w="1649" w:type="dxa"/>
            <w:vAlign w:val="center"/>
          </w:tcPr>
          <w:p w14:paraId="1DCC83A4" w14:textId="77777777" w:rsidR="008A2D38" w:rsidRPr="003C5180" w:rsidRDefault="008A2D38" w:rsidP="001905CA">
            <w:pPr>
              <w:pStyle w:val="MediumGrid2-Accent11"/>
              <w:spacing w:after="0" w:line="240" w:lineRule="auto"/>
              <w:jc w:val="center"/>
              <w:rPr>
                <w:rFonts w:cs="Segoe UI Symbol"/>
                <w:lang w:eastAsia="en-GB"/>
              </w:rPr>
            </w:pPr>
          </w:p>
        </w:tc>
        <w:tc>
          <w:tcPr>
            <w:tcW w:w="1649" w:type="dxa"/>
            <w:tcBorders>
              <w:right w:val="single" w:sz="4" w:space="0" w:color="auto"/>
            </w:tcBorders>
          </w:tcPr>
          <w:p w14:paraId="49E2EFE3"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left w:val="single" w:sz="4" w:space="0" w:color="auto"/>
            </w:tcBorders>
          </w:tcPr>
          <w:p w14:paraId="2219B1FB"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tcPr>
          <w:p w14:paraId="4ECDADD8"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left w:val="single" w:sz="4" w:space="0" w:color="auto"/>
            </w:tcBorders>
          </w:tcPr>
          <w:p w14:paraId="43931222"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c>
          <w:tcPr>
            <w:tcW w:w="1649" w:type="dxa"/>
            <w:tcBorders>
              <w:right w:val="single" w:sz="4" w:space="0" w:color="auto"/>
            </w:tcBorders>
            <w:vAlign w:val="center"/>
          </w:tcPr>
          <w:p w14:paraId="7C2B73F2" w14:textId="77777777" w:rsidR="008A2D38" w:rsidRPr="003C5180" w:rsidRDefault="008A2D38" w:rsidP="001905CA">
            <w:pPr>
              <w:pStyle w:val="MediumGrid2-Accent11"/>
              <w:spacing w:after="0" w:line="240" w:lineRule="auto"/>
              <w:jc w:val="center"/>
              <w:rPr>
                <w:rFonts w:cs="Segoe UI Symbol"/>
                <w:lang w:eastAsia="en-GB"/>
              </w:rPr>
            </w:pPr>
            <w:r w:rsidRPr="001905CA">
              <w:rPr>
                <w:rFonts w:ascii="Segoe UI Symbol" w:hAnsi="Segoe UI Symbol" w:cs="Segoe UI Symbol"/>
                <w:lang w:eastAsia="en-GB"/>
              </w:rPr>
              <w:t>✓</w:t>
            </w:r>
          </w:p>
        </w:tc>
      </w:tr>
    </w:tbl>
    <w:p w14:paraId="29F6BC60" w14:textId="77777777" w:rsidR="001905CA" w:rsidRPr="003C5180" w:rsidRDefault="007B031E" w:rsidP="005F4E4D">
      <w:pPr>
        <w:rPr>
          <w:rFonts w:cs="Tahoma"/>
          <w:b/>
          <w:sz w:val="28"/>
          <w:szCs w:val="28"/>
          <w:lang w:eastAsia="en-GB"/>
        </w:rPr>
      </w:pPr>
      <w:r w:rsidRPr="003C5180">
        <w:rPr>
          <w:rFonts w:cs="Tahoma"/>
          <w:b/>
          <w:sz w:val="28"/>
          <w:szCs w:val="28"/>
          <w:lang w:eastAsia="en-GB"/>
        </w:rPr>
        <w:t>Appendix</w:t>
      </w:r>
      <w:r w:rsidRPr="003C5180">
        <w:rPr>
          <w:rFonts w:cs="Tahoma"/>
          <w:b/>
          <w:i/>
          <w:sz w:val="28"/>
          <w:szCs w:val="28"/>
          <w:lang w:eastAsia="en-GB"/>
        </w:rPr>
        <w:t xml:space="preserve"> </w:t>
      </w:r>
      <w:r w:rsidR="00296FAA" w:rsidRPr="003C5180">
        <w:rPr>
          <w:rFonts w:cs="Tahoma"/>
          <w:b/>
          <w:i/>
          <w:sz w:val="28"/>
          <w:szCs w:val="28"/>
          <w:lang w:eastAsia="en-GB"/>
        </w:rPr>
        <w:t>2</w:t>
      </w:r>
      <w:r w:rsidRPr="003C5180">
        <w:rPr>
          <w:rFonts w:cs="Tahoma"/>
          <w:b/>
          <w:i/>
          <w:sz w:val="22"/>
          <w:szCs w:val="22"/>
          <w:lang w:eastAsia="en-GB"/>
        </w:rPr>
        <w:t xml:space="preserve">. </w:t>
      </w:r>
      <w:r w:rsidR="005F0819" w:rsidRPr="003C5180">
        <w:rPr>
          <w:rFonts w:cs="Tahoma"/>
          <w:b/>
          <w:sz w:val="28"/>
          <w:szCs w:val="28"/>
          <w:lang w:eastAsia="en-GB"/>
        </w:rPr>
        <w:t>S</w:t>
      </w:r>
      <w:r w:rsidRPr="003C5180">
        <w:rPr>
          <w:rFonts w:cs="Tahoma"/>
          <w:b/>
          <w:sz w:val="28"/>
          <w:szCs w:val="28"/>
          <w:lang w:eastAsia="en-GB"/>
        </w:rPr>
        <w:t xml:space="preserve">ummary chart of study </w:t>
      </w:r>
      <w:r w:rsidR="001905CA" w:rsidRPr="003C5180">
        <w:rPr>
          <w:rFonts w:cs="Tahoma"/>
          <w:b/>
          <w:sz w:val="28"/>
          <w:szCs w:val="28"/>
          <w:lang w:eastAsia="en-GB"/>
        </w:rPr>
        <w:t>assessments</w:t>
      </w:r>
    </w:p>
    <w:p w14:paraId="5C4FDF1C" w14:textId="77777777" w:rsidR="00B217D1" w:rsidRDefault="00B217D1">
      <w:pPr>
        <w:rPr>
          <w:rFonts w:cs="Tahoma"/>
          <w:sz w:val="22"/>
          <w:szCs w:val="22"/>
          <w:lang w:eastAsia="en-GB"/>
        </w:rPr>
      </w:pPr>
    </w:p>
    <w:p w14:paraId="7F2F2ABB" w14:textId="2B24DA77" w:rsidR="00B217D1" w:rsidRDefault="00B217D1">
      <w:pPr>
        <w:rPr>
          <w:rFonts w:cs="Tahoma"/>
          <w:sz w:val="22"/>
          <w:szCs w:val="22"/>
          <w:lang w:eastAsia="en-GB"/>
        </w:rPr>
      </w:pPr>
      <w:r w:rsidRPr="00B254F4">
        <w:rPr>
          <w:rFonts w:cs="Tahoma"/>
          <w:noProof/>
          <w:sz w:val="22"/>
          <w:szCs w:val="22"/>
          <w:lang w:eastAsia="en-GB"/>
        </w:rPr>
        <w:drawing>
          <wp:anchor distT="0" distB="0" distL="114300" distR="114300" simplePos="0" relativeHeight="251658240" behindDoc="1" locked="0" layoutInCell="1" allowOverlap="1" wp14:anchorId="1F10F90B" wp14:editId="692EF056">
            <wp:simplePos x="0" y="0"/>
            <wp:positionH relativeFrom="margin">
              <wp:align>right</wp:align>
            </wp:positionH>
            <wp:positionV relativeFrom="paragraph">
              <wp:posOffset>319405</wp:posOffset>
            </wp:positionV>
            <wp:extent cx="5734050" cy="7362825"/>
            <wp:effectExtent l="0" t="0" r="0" b="9525"/>
            <wp:wrapTight wrapText="bothSides">
              <wp:wrapPolygon edited="0">
                <wp:start x="0" y="0"/>
                <wp:lineTo x="0" y="21572"/>
                <wp:lineTo x="21528" y="21572"/>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7362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ahoma"/>
          <w:sz w:val="22"/>
          <w:szCs w:val="22"/>
          <w:lang w:eastAsia="en-GB"/>
        </w:rPr>
        <w:t>Appendix 3</w:t>
      </w:r>
      <w:r w:rsidR="00E905DE">
        <w:rPr>
          <w:rFonts w:cs="Tahoma"/>
          <w:sz w:val="22"/>
          <w:szCs w:val="22"/>
          <w:lang w:eastAsia="en-GB"/>
        </w:rPr>
        <w:t>. Paracetamol administration record</w:t>
      </w:r>
    </w:p>
    <w:p w14:paraId="47964333" w14:textId="77777777" w:rsidR="009572F5" w:rsidRDefault="009572F5" w:rsidP="009572F5">
      <w:pPr>
        <w:rPr>
          <w:rFonts w:cs="Tahoma"/>
          <w:sz w:val="22"/>
          <w:szCs w:val="22"/>
          <w:lang w:eastAsia="en-GB"/>
        </w:rPr>
      </w:pPr>
    </w:p>
    <w:p w14:paraId="6A9CDE81" w14:textId="77777777" w:rsidR="00B217D1" w:rsidRPr="009572F5" w:rsidRDefault="009572F5" w:rsidP="00B254F4">
      <w:pPr>
        <w:tabs>
          <w:tab w:val="left" w:pos="960"/>
        </w:tabs>
        <w:rPr>
          <w:rFonts w:cs="Tahoma"/>
          <w:sz w:val="22"/>
          <w:szCs w:val="22"/>
          <w:lang w:eastAsia="en-GB"/>
        </w:rPr>
      </w:pPr>
      <w:r>
        <w:rPr>
          <w:rFonts w:cs="Tahoma"/>
          <w:sz w:val="22"/>
          <w:szCs w:val="22"/>
          <w:lang w:eastAsia="en-GB"/>
        </w:rPr>
        <w:tab/>
      </w:r>
    </w:p>
    <w:sectPr w:rsidR="00B217D1" w:rsidRPr="009572F5" w:rsidSect="00B254F4">
      <w:endnotePr>
        <w:numFmt w:val="decimal"/>
      </w:endnotePr>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0EE53" w14:textId="77777777" w:rsidR="00B402C2" w:rsidRDefault="00B402C2" w:rsidP="005077F6">
      <w:r>
        <w:separator/>
      </w:r>
    </w:p>
  </w:endnote>
  <w:endnote w:type="continuationSeparator" w:id="0">
    <w:p w14:paraId="01589D10" w14:textId="77777777" w:rsidR="00B402C2" w:rsidRDefault="00B402C2" w:rsidP="0050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altName w:val="Calibri"/>
    <w:panose1 w:val="020B0502040204020203"/>
    <w:charset w:val="00"/>
    <w:family w:val="swiss"/>
    <w:pitch w:val="variable"/>
    <w:sig w:usb0="8000006F" w:usb1="1200FBEF" w:usb2="0064C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3F9EE" w14:textId="77777777" w:rsidR="00B402C2" w:rsidRDefault="00B402C2" w:rsidP="00BD18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47F628" w14:textId="77777777" w:rsidR="00B402C2" w:rsidRDefault="00B402C2" w:rsidP="00BD18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AC3ED" w14:textId="77777777" w:rsidR="00B402C2" w:rsidRDefault="00B402C2" w:rsidP="00BD18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7D9">
      <w:rPr>
        <w:rStyle w:val="PageNumber"/>
        <w:noProof/>
      </w:rPr>
      <w:t>44</w:t>
    </w:r>
    <w:r>
      <w:rPr>
        <w:rStyle w:val="PageNumber"/>
      </w:rPr>
      <w:fldChar w:fldCharType="end"/>
    </w:r>
  </w:p>
  <w:p w14:paraId="1E4B27FA" w14:textId="77777777" w:rsidR="00B402C2" w:rsidRPr="00EE6906" w:rsidRDefault="00B402C2" w:rsidP="00BD1825">
    <w:pPr>
      <w:pStyle w:val="Footer"/>
      <w:spacing w:before="240" w:after="0" w:line="240" w:lineRule="auto"/>
      <w:ind w:right="360"/>
      <w:jc w:val="center"/>
      <w:rPr>
        <w:rFonts w:ascii="Franklin Gothic Book" w:hAnsi="Franklin Gothic Book"/>
        <w:sz w:val="16"/>
        <w:szCs w:val="16"/>
      </w:rPr>
    </w:pPr>
    <w:r>
      <w:rPr>
        <w:rFonts w:ascii="Franklin Gothic Book" w:hAnsi="Franklin Gothic Book"/>
        <w:sz w:val="16"/>
        <w:szCs w:val="16"/>
      </w:rPr>
      <w:t xml:space="preserve">BEAR MenB. </w:t>
    </w:r>
    <w:r w:rsidRPr="00EE6906">
      <w:rPr>
        <w:rFonts w:ascii="Franklin Gothic Book" w:hAnsi="Franklin Gothic Book"/>
        <w:sz w:val="16"/>
        <w:szCs w:val="16"/>
      </w:rPr>
      <w:t>JREO Ref</w:t>
    </w:r>
    <w:r>
      <w:rPr>
        <w:rFonts w:ascii="Franklin Gothic Book" w:hAnsi="Franklin Gothic Book"/>
        <w:sz w:val="16"/>
        <w:szCs w:val="16"/>
      </w:rPr>
      <w:t>: 16.0247</w:t>
    </w:r>
  </w:p>
  <w:p w14:paraId="4449633C" w14:textId="234C5096" w:rsidR="00B402C2" w:rsidRDefault="00B402C2" w:rsidP="00EE6906">
    <w:pPr>
      <w:pStyle w:val="Footer"/>
      <w:spacing w:before="240" w:after="0" w:line="240" w:lineRule="auto"/>
      <w:jc w:val="center"/>
      <w:rPr>
        <w:rFonts w:ascii="Franklin Gothic Book" w:hAnsi="Franklin Gothic Book"/>
        <w:sz w:val="16"/>
        <w:szCs w:val="16"/>
      </w:rPr>
    </w:pPr>
    <w:r>
      <w:rPr>
        <w:rFonts w:ascii="Franklin Gothic Book" w:hAnsi="Franklin Gothic Book"/>
        <w:sz w:val="16"/>
        <w:szCs w:val="16"/>
      </w:rPr>
      <w:t>Version 2.</w:t>
    </w:r>
    <w:r w:rsidR="00423DCE">
      <w:rPr>
        <w:rFonts w:ascii="Franklin Gothic Book" w:hAnsi="Franklin Gothic Book"/>
        <w:sz w:val="16"/>
        <w:szCs w:val="16"/>
      </w:rPr>
      <w:t>1</w:t>
    </w:r>
    <w:r>
      <w:rPr>
        <w:rFonts w:ascii="Franklin Gothic Book" w:hAnsi="Franklin Gothic Book"/>
        <w:sz w:val="16"/>
        <w:szCs w:val="16"/>
      </w:rPr>
      <w:t xml:space="preserve"> </w:t>
    </w:r>
    <w:r w:rsidR="00423DCE">
      <w:rPr>
        <w:rFonts w:ascii="Franklin Gothic Book" w:hAnsi="Franklin Gothic Book"/>
        <w:sz w:val="16"/>
        <w:szCs w:val="16"/>
      </w:rPr>
      <w:t>02.08.18</w:t>
    </w:r>
  </w:p>
  <w:p w14:paraId="4E70BE3A" w14:textId="77777777" w:rsidR="00B402C2" w:rsidRPr="00EE6906" w:rsidRDefault="00B402C2" w:rsidP="00EE6906">
    <w:pPr>
      <w:pStyle w:val="Footer"/>
      <w:spacing w:before="240" w:after="0" w:line="240" w:lineRule="auto"/>
      <w:jc w:val="center"/>
      <w:rPr>
        <w:rFonts w:ascii="Franklin Gothic Book" w:hAnsi="Franklin Gothic Book"/>
        <w:sz w:val="16"/>
        <w:szCs w:val="16"/>
      </w:rPr>
    </w:pPr>
    <w:r>
      <w:rPr>
        <w:rFonts w:ascii="Franklin Gothic Book" w:hAnsi="Franklin Gothic Book"/>
        <w:sz w:val="16"/>
        <w:szCs w:val="16"/>
      </w:rPr>
      <w:t>IRAS reference 223226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8C5A2" w14:textId="77777777" w:rsidR="00B402C2" w:rsidRDefault="00B402C2" w:rsidP="005077F6">
      <w:r>
        <w:separator/>
      </w:r>
    </w:p>
  </w:footnote>
  <w:footnote w:type="continuationSeparator" w:id="0">
    <w:p w14:paraId="217D6F1E" w14:textId="77777777" w:rsidR="00B402C2" w:rsidRDefault="00B402C2" w:rsidP="0050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E4CF" w14:textId="77777777" w:rsidR="00B402C2" w:rsidRDefault="00B402C2" w:rsidP="001612E2">
    <w:pPr>
      <w:jc w:val="center"/>
    </w:pPr>
    <w:r w:rsidRPr="00543909">
      <w:rPr>
        <w:noProof/>
        <w:lang w:eastAsia="en-GB"/>
      </w:rPr>
      <w:drawing>
        <wp:inline distT="0" distB="0" distL="0" distR="0" wp14:anchorId="21E10061" wp14:editId="4FD858F6">
          <wp:extent cx="1144905" cy="543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543560"/>
                  </a:xfrm>
                  <a:prstGeom prst="rect">
                    <a:avLst/>
                  </a:prstGeom>
                  <a:noFill/>
                  <a:ln>
                    <a:noFill/>
                  </a:ln>
                </pic:spPr>
              </pic:pic>
            </a:graphicData>
          </a:graphic>
        </wp:inline>
      </w:drawing>
    </w:r>
    <w:r>
      <w:t xml:space="preserve">                                                        </w:t>
    </w:r>
    <w:r w:rsidRPr="00B42691">
      <w:rPr>
        <w:noProof/>
        <w:lang w:eastAsia="en-GB"/>
      </w:rPr>
      <w:drawing>
        <wp:inline distT="0" distB="0" distL="0" distR="0" wp14:anchorId="39D9B966" wp14:editId="70AA4456">
          <wp:extent cx="2496185" cy="535305"/>
          <wp:effectExtent l="0" t="0" r="0" b="0"/>
          <wp:docPr id="5" name="Picture 5" descr="St Georges Universit#4AF2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Georges Universit#4AF27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6185" cy="5353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7235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93E3D"/>
    <w:multiLevelType w:val="multilevel"/>
    <w:tmpl w:val="C9BA6778"/>
    <w:lvl w:ilvl="0">
      <w:start w:val="1"/>
      <w:numFmt w:val="bullet"/>
      <w:lvlText w:val=""/>
      <w:lvlJc w:val="left"/>
      <w:pPr>
        <w:tabs>
          <w:tab w:val="num" w:pos="1282"/>
        </w:tabs>
        <w:ind w:left="1282" w:hanging="432"/>
      </w:pPr>
      <w:rPr>
        <w:rFonts w:ascii="Symbol" w:hAnsi="Symbol" w:hint="default"/>
        <w:sz w:val="20"/>
      </w:rPr>
    </w:lvl>
    <w:lvl w:ilvl="1">
      <w:start w:val="1"/>
      <w:numFmt w:val="bullet"/>
      <w:lvlText w:val=""/>
      <w:lvlJc w:val="left"/>
      <w:pPr>
        <w:tabs>
          <w:tab w:val="num" w:pos="2290"/>
        </w:tabs>
        <w:ind w:left="2290" w:hanging="360"/>
      </w:pPr>
      <w:rPr>
        <w:rFonts w:ascii="Wingdings" w:hAnsi="Wingdings" w:hint="default"/>
        <w:sz w:val="20"/>
      </w:rPr>
    </w:lvl>
    <w:lvl w:ilvl="2" w:tentative="1">
      <w:start w:val="1"/>
      <w:numFmt w:val="bullet"/>
      <w:lvlText w:val=""/>
      <w:lvlJc w:val="left"/>
      <w:pPr>
        <w:tabs>
          <w:tab w:val="num" w:pos="3010"/>
        </w:tabs>
        <w:ind w:left="3010" w:hanging="360"/>
      </w:pPr>
      <w:rPr>
        <w:rFonts w:ascii="Wingdings" w:hAnsi="Wingdings" w:hint="default"/>
      </w:rPr>
    </w:lvl>
    <w:lvl w:ilvl="3" w:tentative="1">
      <w:start w:val="1"/>
      <w:numFmt w:val="bullet"/>
      <w:lvlText w:val=""/>
      <w:lvlJc w:val="left"/>
      <w:pPr>
        <w:tabs>
          <w:tab w:val="num" w:pos="3730"/>
        </w:tabs>
        <w:ind w:left="3730" w:hanging="360"/>
      </w:pPr>
      <w:rPr>
        <w:rFonts w:ascii="Symbol" w:hAnsi="Symbol" w:hint="default"/>
      </w:rPr>
    </w:lvl>
    <w:lvl w:ilvl="4" w:tentative="1">
      <w:start w:val="1"/>
      <w:numFmt w:val="bullet"/>
      <w:lvlText w:val="o"/>
      <w:lvlJc w:val="left"/>
      <w:pPr>
        <w:tabs>
          <w:tab w:val="num" w:pos="4450"/>
        </w:tabs>
        <w:ind w:left="4450" w:hanging="360"/>
      </w:pPr>
      <w:rPr>
        <w:rFonts w:ascii="Courier New" w:hAnsi="Courier New" w:hint="default"/>
      </w:rPr>
    </w:lvl>
    <w:lvl w:ilvl="5" w:tentative="1">
      <w:start w:val="1"/>
      <w:numFmt w:val="bullet"/>
      <w:lvlText w:val=""/>
      <w:lvlJc w:val="left"/>
      <w:pPr>
        <w:tabs>
          <w:tab w:val="num" w:pos="5170"/>
        </w:tabs>
        <w:ind w:left="5170" w:hanging="360"/>
      </w:pPr>
      <w:rPr>
        <w:rFonts w:ascii="Wingdings" w:hAnsi="Wingdings" w:hint="default"/>
      </w:rPr>
    </w:lvl>
    <w:lvl w:ilvl="6" w:tentative="1">
      <w:start w:val="1"/>
      <w:numFmt w:val="bullet"/>
      <w:lvlText w:val=""/>
      <w:lvlJc w:val="left"/>
      <w:pPr>
        <w:tabs>
          <w:tab w:val="num" w:pos="5890"/>
        </w:tabs>
        <w:ind w:left="5890" w:hanging="360"/>
      </w:pPr>
      <w:rPr>
        <w:rFonts w:ascii="Symbol" w:hAnsi="Symbol" w:hint="default"/>
      </w:rPr>
    </w:lvl>
    <w:lvl w:ilvl="7" w:tentative="1">
      <w:start w:val="1"/>
      <w:numFmt w:val="bullet"/>
      <w:lvlText w:val="o"/>
      <w:lvlJc w:val="left"/>
      <w:pPr>
        <w:tabs>
          <w:tab w:val="num" w:pos="6610"/>
        </w:tabs>
        <w:ind w:left="6610" w:hanging="360"/>
      </w:pPr>
      <w:rPr>
        <w:rFonts w:ascii="Courier New" w:hAnsi="Courier New" w:hint="default"/>
      </w:rPr>
    </w:lvl>
    <w:lvl w:ilvl="8" w:tentative="1">
      <w:start w:val="1"/>
      <w:numFmt w:val="bullet"/>
      <w:lvlText w:val=""/>
      <w:lvlJc w:val="left"/>
      <w:pPr>
        <w:tabs>
          <w:tab w:val="num" w:pos="7330"/>
        </w:tabs>
        <w:ind w:left="7330" w:hanging="360"/>
      </w:pPr>
      <w:rPr>
        <w:rFonts w:ascii="Wingdings" w:hAnsi="Wingdings" w:hint="default"/>
      </w:rPr>
    </w:lvl>
  </w:abstractNum>
  <w:abstractNum w:abstractNumId="2" w15:restartNumberingAfterBreak="0">
    <w:nsid w:val="00810C35"/>
    <w:multiLevelType w:val="multilevel"/>
    <w:tmpl w:val="F4949B20"/>
    <w:lvl w:ilvl="0">
      <w:start w:val="12"/>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1567BD3"/>
    <w:multiLevelType w:val="hybridMultilevel"/>
    <w:tmpl w:val="61046AF2"/>
    <w:lvl w:ilvl="0" w:tplc="EA7087DA">
      <w:start w:val="1"/>
      <w:numFmt w:val="lowerRoman"/>
      <w:lvlText w:val="(%1)"/>
      <w:lvlJc w:val="left"/>
      <w:pPr>
        <w:ind w:left="1080" w:hanging="72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D60CEA"/>
    <w:multiLevelType w:val="multilevel"/>
    <w:tmpl w:val="29C2446C"/>
    <w:lvl w:ilvl="0">
      <w:start w:val="13"/>
      <w:numFmt w:val="decimal"/>
      <w:lvlText w:val="%1"/>
      <w:lvlJc w:val="left"/>
      <w:pPr>
        <w:ind w:left="375" w:hanging="375"/>
      </w:pPr>
      <w:rPr>
        <w:rFonts w:hint="default"/>
        <w:sz w:val="22"/>
      </w:rPr>
    </w:lvl>
    <w:lvl w:ilvl="1">
      <w:start w:val="1"/>
      <w:numFmt w:val="decimal"/>
      <w:lvlText w:val="%1.%2"/>
      <w:lvlJc w:val="left"/>
      <w:pPr>
        <w:ind w:left="517" w:hanging="375"/>
      </w:pPr>
      <w:rPr>
        <w:rFonts w:hint="default"/>
        <w:sz w:val="22"/>
      </w:rPr>
    </w:lvl>
    <w:lvl w:ilvl="2">
      <w:start w:val="1"/>
      <w:numFmt w:val="decimal"/>
      <w:lvlText w:val="%1.%2.%3"/>
      <w:lvlJc w:val="left"/>
      <w:pPr>
        <w:ind w:left="1004" w:hanging="720"/>
      </w:pPr>
      <w:rPr>
        <w:rFonts w:hint="default"/>
        <w:sz w:val="22"/>
      </w:rPr>
    </w:lvl>
    <w:lvl w:ilvl="3">
      <w:start w:val="1"/>
      <w:numFmt w:val="decimal"/>
      <w:lvlText w:val="%1.%2.%3.%4"/>
      <w:lvlJc w:val="left"/>
      <w:pPr>
        <w:ind w:left="1146" w:hanging="720"/>
      </w:pPr>
      <w:rPr>
        <w:rFonts w:hint="default"/>
        <w:sz w:val="22"/>
      </w:rPr>
    </w:lvl>
    <w:lvl w:ilvl="4">
      <w:start w:val="1"/>
      <w:numFmt w:val="decimal"/>
      <w:lvlText w:val="%1.%2.%3.%4.%5"/>
      <w:lvlJc w:val="left"/>
      <w:pPr>
        <w:ind w:left="1648" w:hanging="1080"/>
      </w:pPr>
      <w:rPr>
        <w:rFonts w:hint="default"/>
        <w:sz w:val="22"/>
      </w:rPr>
    </w:lvl>
    <w:lvl w:ilvl="5">
      <w:start w:val="1"/>
      <w:numFmt w:val="decimal"/>
      <w:lvlText w:val="%1.%2.%3.%4.%5.%6"/>
      <w:lvlJc w:val="left"/>
      <w:pPr>
        <w:ind w:left="1790" w:hanging="1080"/>
      </w:pPr>
      <w:rPr>
        <w:rFonts w:hint="default"/>
        <w:sz w:val="22"/>
      </w:rPr>
    </w:lvl>
    <w:lvl w:ilvl="6">
      <w:start w:val="1"/>
      <w:numFmt w:val="decimal"/>
      <w:lvlText w:val="%1.%2.%3.%4.%5.%6.%7"/>
      <w:lvlJc w:val="left"/>
      <w:pPr>
        <w:ind w:left="2292" w:hanging="1440"/>
      </w:pPr>
      <w:rPr>
        <w:rFonts w:hint="default"/>
        <w:sz w:val="22"/>
      </w:rPr>
    </w:lvl>
    <w:lvl w:ilvl="7">
      <w:start w:val="1"/>
      <w:numFmt w:val="decimal"/>
      <w:lvlText w:val="%1.%2.%3.%4.%5.%6.%7.%8"/>
      <w:lvlJc w:val="left"/>
      <w:pPr>
        <w:ind w:left="2434" w:hanging="1440"/>
      </w:pPr>
      <w:rPr>
        <w:rFonts w:hint="default"/>
        <w:sz w:val="22"/>
      </w:rPr>
    </w:lvl>
    <w:lvl w:ilvl="8">
      <w:start w:val="1"/>
      <w:numFmt w:val="decimal"/>
      <w:lvlText w:val="%1.%2.%3.%4.%5.%6.%7.%8.%9"/>
      <w:lvlJc w:val="left"/>
      <w:pPr>
        <w:ind w:left="2936" w:hanging="1800"/>
      </w:pPr>
      <w:rPr>
        <w:rFonts w:hint="default"/>
        <w:sz w:val="22"/>
      </w:rPr>
    </w:lvl>
  </w:abstractNum>
  <w:abstractNum w:abstractNumId="5" w15:restartNumberingAfterBreak="0">
    <w:nsid w:val="051E0C36"/>
    <w:multiLevelType w:val="singleLevel"/>
    <w:tmpl w:val="4EE2B83E"/>
    <w:lvl w:ilvl="0">
      <w:start w:val="1"/>
      <w:numFmt w:val="bullet"/>
      <w:pStyle w:val="NewBullet1"/>
      <w:lvlText w:val=""/>
      <w:lvlJc w:val="left"/>
      <w:pPr>
        <w:tabs>
          <w:tab w:val="num" w:pos="927"/>
        </w:tabs>
        <w:ind w:left="924" w:hanging="357"/>
      </w:pPr>
      <w:rPr>
        <w:rFonts w:ascii="Symbol" w:hAnsi="Symbol" w:hint="default"/>
      </w:rPr>
    </w:lvl>
  </w:abstractNum>
  <w:abstractNum w:abstractNumId="6" w15:restartNumberingAfterBreak="0">
    <w:nsid w:val="100C4798"/>
    <w:multiLevelType w:val="multilevel"/>
    <w:tmpl w:val="C89A458A"/>
    <w:lvl w:ilvl="0">
      <w:start w:val="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3710D26"/>
    <w:multiLevelType w:val="hybridMultilevel"/>
    <w:tmpl w:val="419C5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8E1F66"/>
    <w:multiLevelType w:val="multilevel"/>
    <w:tmpl w:val="734EDDBC"/>
    <w:lvl w:ilvl="0">
      <w:start w:val="15"/>
      <w:numFmt w:val="decimal"/>
      <w:lvlText w:val="%1"/>
      <w:lvlJc w:val="left"/>
      <w:pPr>
        <w:ind w:left="675" w:hanging="675"/>
      </w:pPr>
      <w:rPr>
        <w:rFonts w:hint="default"/>
      </w:rPr>
    </w:lvl>
    <w:lvl w:ilvl="1">
      <w:start w:val="2"/>
      <w:numFmt w:val="decimal"/>
      <w:lvlText w:val="%1.%2"/>
      <w:lvlJc w:val="left"/>
      <w:pPr>
        <w:ind w:left="817" w:hanging="67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6817CC6"/>
    <w:multiLevelType w:val="multilevel"/>
    <w:tmpl w:val="0150A314"/>
    <w:lvl w:ilvl="0">
      <w:start w:val="1"/>
      <w:numFmt w:val="bullet"/>
      <w:lvlText w:val=""/>
      <w:lvlJc w:val="left"/>
      <w:pPr>
        <w:tabs>
          <w:tab w:val="num" w:pos="1282"/>
        </w:tabs>
        <w:ind w:left="1282" w:hanging="432"/>
      </w:pPr>
      <w:rPr>
        <w:rFonts w:ascii="Symbol" w:hAnsi="Symbol" w:hint="default"/>
        <w:sz w:val="20"/>
      </w:rPr>
    </w:lvl>
    <w:lvl w:ilvl="1">
      <w:start w:val="1"/>
      <w:numFmt w:val="bullet"/>
      <w:lvlText w:val=""/>
      <w:lvlJc w:val="left"/>
      <w:pPr>
        <w:tabs>
          <w:tab w:val="num" w:pos="2290"/>
        </w:tabs>
        <w:ind w:left="2290" w:hanging="360"/>
      </w:pPr>
      <w:rPr>
        <w:rFonts w:ascii="Wingdings" w:hAnsi="Wingdings" w:hint="default"/>
        <w:sz w:val="20"/>
      </w:rPr>
    </w:lvl>
    <w:lvl w:ilvl="2" w:tentative="1">
      <w:start w:val="1"/>
      <w:numFmt w:val="bullet"/>
      <w:lvlText w:val=""/>
      <w:lvlJc w:val="left"/>
      <w:pPr>
        <w:tabs>
          <w:tab w:val="num" w:pos="3010"/>
        </w:tabs>
        <w:ind w:left="3010" w:hanging="360"/>
      </w:pPr>
      <w:rPr>
        <w:rFonts w:ascii="Wingdings" w:hAnsi="Wingdings" w:hint="default"/>
      </w:rPr>
    </w:lvl>
    <w:lvl w:ilvl="3" w:tentative="1">
      <w:start w:val="1"/>
      <w:numFmt w:val="bullet"/>
      <w:lvlText w:val=""/>
      <w:lvlJc w:val="left"/>
      <w:pPr>
        <w:tabs>
          <w:tab w:val="num" w:pos="3730"/>
        </w:tabs>
        <w:ind w:left="3730" w:hanging="360"/>
      </w:pPr>
      <w:rPr>
        <w:rFonts w:ascii="Symbol" w:hAnsi="Symbol" w:hint="default"/>
      </w:rPr>
    </w:lvl>
    <w:lvl w:ilvl="4" w:tentative="1">
      <w:start w:val="1"/>
      <w:numFmt w:val="bullet"/>
      <w:lvlText w:val="o"/>
      <w:lvlJc w:val="left"/>
      <w:pPr>
        <w:tabs>
          <w:tab w:val="num" w:pos="4450"/>
        </w:tabs>
        <w:ind w:left="4450" w:hanging="360"/>
      </w:pPr>
      <w:rPr>
        <w:rFonts w:ascii="Courier New" w:hAnsi="Courier New" w:hint="default"/>
      </w:rPr>
    </w:lvl>
    <w:lvl w:ilvl="5" w:tentative="1">
      <w:start w:val="1"/>
      <w:numFmt w:val="bullet"/>
      <w:lvlText w:val=""/>
      <w:lvlJc w:val="left"/>
      <w:pPr>
        <w:tabs>
          <w:tab w:val="num" w:pos="5170"/>
        </w:tabs>
        <w:ind w:left="5170" w:hanging="360"/>
      </w:pPr>
      <w:rPr>
        <w:rFonts w:ascii="Wingdings" w:hAnsi="Wingdings" w:hint="default"/>
      </w:rPr>
    </w:lvl>
    <w:lvl w:ilvl="6" w:tentative="1">
      <w:start w:val="1"/>
      <w:numFmt w:val="bullet"/>
      <w:lvlText w:val=""/>
      <w:lvlJc w:val="left"/>
      <w:pPr>
        <w:tabs>
          <w:tab w:val="num" w:pos="5890"/>
        </w:tabs>
        <w:ind w:left="5890" w:hanging="360"/>
      </w:pPr>
      <w:rPr>
        <w:rFonts w:ascii="Symbol" w:hAnsi="Symbol" w:hint="default"/>
      </w:rPr>
    </w:lvl>
    <w:lvl w:ilvl="7" w:tentative="1">
      <w:start w:val="1"/>
      <w:numFmt w:val="bullet"/>
      <w:lvlText w:val="o"/>
      <w:lvlJc w:val="left"/>
      <w:pPr>
        <w:tabs>
          <w:tab w:val="num" w:pos="6610"/>
        </w:tabs>
        <w:ind w:left="6610" w:hanging="360"/>
      </w:pPr>
      <w:rPr>
        <w:rFonts w:ascii="Courier New" w:hAnsi="Courier New" w:hint="default"/>
      </w:rPr>
    </w:lvl>
    <w:lvl w:ilvl="8" w:tentative="1">
      <w:start w:val="1"/>
      <w:numFmt w:val="bullet"/>
      <w:lvlText w:val=""/>
      <w:lvlJc w:val="left"/>
      <w:pPr>
        <w:tabs>
          <w:tab w:val="num" w:pos="7330"/>
        </w:tabs>
        <w:ind w:left="7330" w:hanging="360"/>
      </w:pPr>
      <w:rPr>
        <w:rFonts w:ascii="Wingdings" w:hAnsi="Wingdings" w:hint="default"/>
      </w:rPr>
    </w:lvl>
  </w:abstractNum>
  <w:abstractNum w:abstractNumId="10" w15:restartNumberingAfterBreak="0">
    <w:nsid w:val="16BD040D"/>
    <w:multiLevelType w:val="multilevel"/>
    <w:tmpl w:val="341C66A4"/>
    <w:lvl w:ilvl="0">
      <w:start w:val="7"/>
      <w:numFmt w:val="decimal"/>
      <w:lvlText w:val="%1."/>
      <w:lvlJc w:val="left"/>
      <w:pPr>
        <w:ind w:left="432" w:hanging="432"/>
      </w:pPr>
      <w:rPr>
        <w:rFonts w:hint="default"/>
        <w:b/>
        <w:i w:val="0"/>
        <w:sz w:val="28"/>
        <w:szCs w:val="28"/>
      </w:rPr>
    </w:lvl>
    <w:lvl w:ilvl="1">
      <w:start w:val="1"/>
      <w:numFmt w:val="decimal"/>
      <w:pStyle w:val="Heading2"/>
      <w:lvlText w:val="8.%2"/>
      <w:lvlJc w:val="left"/>
      <w:pPr>
        <w:ind w:left="718" w:hanging="576"/>
      </w:pPr>
      <w:rPr>
        <w:rFonts w:cs="Times New Roman" w:hint="default"/>
      </w:rPr>
    </w:lvl>
    <w:lvl w:ilvl="2">
      <w:start w:val="1"/>
      <w:numFmt w:val="decimal"/>
      <w:pStyle w:val="Heading3"/>
      <w:lvlText w:val="%1.%2.%3"/>
      <w:lvlJc w:val="left"/>
      <w:pPr>
        <w:ind w:left="900" w:hanging="720"/>
      </w:pPr>
      <w:rPr>
        <w:rFonts w:cs="Times New Roman" w:hint="default"/>
        <w:b/>
        <w:color w:val="auto"/>
        <w:sz w:val="22"/>
        <w:szCs w:val="22"/>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177400B4"/>
    <w:multiLevelType w:val="multilevel"/>
    <w:tmpl w:val="5E5C4AEA"/>
    <w:lvl w:ilvl="0">
      <w:start w:val="8"/>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E1F3438"/>
    <w:multiLevelType w:val="hybridMultilevel"/>
    <w:tmpl w:val="0FAA6A3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1EBC549C"/>
    <w:multiLevelType w:val="multilevel"/>
    <w:tmpl w:val="34BED142"/>
    <w:lvl w:ilvl="0">
      <w:start w:val="10"/>
      <w:numFmt w:val="decimal"/>
      <w:lvlText w:val="%1"/>
      <w:lvlJc w:val="left"/>
      <w:pPr>
        <w:ind w:left="420" w:hanging="420"/>
      </w:pPr>
      <w:rPr>
        <w:rFonts w:hint="default"/>
      </w:rPr>
    </w:lvl>
    <w:lvl w:ilvl="1">
      <w:start w:val="6"/>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1F0660CF"/>
    <w:multiLevelType w:val="multilevel"/>
    <w:tmpl w:val="488C9AF6"/>
    <w:lvl w:ilvl="0">
      <w:start w:val="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0E355A9"/>
    <w:multiLevelType w:val="hybridMultilevel"/>
    <w:tmpl w:val="F9B0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F3591"/>
    <w:multiLevelType w:val="hybridMultilevel"/>
    <w:tmpl w:val="524A627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8ED06172">
      <w:start w:val="1"/>
      <w:numFmt w:val="lowerRoman"/>
      <w:lvlText w:val="(%3)"/>
      <w:lvlJc w:val="left"/>
      <w:pPr>
        <w:ind w:left="2700" w:hanging="720"/>
      </w:pPr>
      <w:rPr>
        <w:rFonts w:hint="default"/>
      </w:rPr>
    </w:lvl>
    <w:lvl w:ilvl="3" w:tplc="D83CF0C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977A4E"/>
    <w:multiLevelType w:val="hybridMultilevel"/>
    <w:tmpl w:val="AAB2124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3B088C"/>
    <w:multiLevelType w:val="hybridMultilevel"/>
    <w:tmpl w:val="CC9C1CDA"/>
    <w:lvl w:ilvl="0" w:tplc="87D8DE6E">
      <w:start w:val="1"/>
      <w:numFmt w:val="lowerRoman"/>
      <w:lvlText w:val="(%1)"/>
      <w:lvlJc w:val="left"/>
      <w:pPr>
        <w:ind w:left="1822" w:hanging="720"/>
      </w:pPr>
      <w:rPr>
        <w:rFonts w:hint="default"/>
      </w:rPr>
    </w:lvl>
    <w:lvl w:ilvl="1" w:tplc="08090019" w:tentative="1">
      <w:start w:val="1"/>
      <w:numFmt w:val="lowerLetter"/>
      <w:lvlText w:val="%2."/>
      <w:lvlJc w:val="left"/>
      <w:pPr>
        <w:ind w:left="2182" w:hanging="360"/>
      </w:pPr>
    </w:lvl>
    <w:lvl w:ilvl="2" w:tplc="0809001B" w:tentative="1">
      <w:start w:val="1"/>
      <w:numFmt w:val="lowerRoman"/>
      <w:lvlText w:val="%3."/>
      <w:lvlJc w:val="right"/>
      <w:pPr>
        <w:ind w:left="2902" w:hanging="180"/>
      </w:pPr>
    </w:lvl>
    <w:lvl w:ilvl="3" w:tplc="0809000F" w:tentative="1">
      <w:start w:val="1"/>
      <w:numFmt w:val="decimal"/>
      <w:lvlText w:val="%4."/>
      <w:lvlJc w:val="left"/>
      <w:pPr>
        <w:ind w:left="3622" w:hanging="360"/>
      </w:pPr>
    </w:lvl>
    <w:lvl w:ilvl="4" w:tplc="08090019" w:tentative="1">
      <w:start w:val="1"/>
      <w:numFmt w:val="lowerLetter"/>
      <w:lvlText w:val="%5."/>
      <w:lvlJc w:val="left"/>
      <w:pPr>
        <w:ind w:left="4342" w:hanging="360"/>
      </w:pPr>
    </w:lvl>
    <w:lvl w:ilvl="5" w:tplc="0809001B" w:tentative="1">
      <w:start w:val="1"/>
      <w:numFmt w:val="lowerRoman"/>
      <w:lvlText w:val="%6."/>
      <w:lvlJc w:val="right"/>
      <w:pPr>
        <w:ind w:left="5062" w:hanging="180"/>
      </w:pPr>
    </w:lvl>
    <w:lvl w:ilvl="6" w:tplc="0809000F" w:tentative="1">
      <w:start w:val="1"/>
      <w:numFmt w:val="decimal"/>
      <w:lvlText w:val="%7."/>
      <w:lvlJc w:val="left"/>
      <w:pPr>
        <w:ind w:left="5782" w:hanging="360"/>
      </w:pPr>
    </w:lvl>
    <w:lvl w:ilvl="7" w:tplc="08090019" w:tentative="1">
      <w:start w:val="1"/>
      <w:numFmt w:val="lowerLetter"/>
      <w:lvlText w:val="%8."/>
      <w:lvlJc w:val="left"/>
      <w:pPr>
        <w:ind w:left="6502" w:hanging="360"/>
      </w:pPr>
    </w:lvl>
    <w:lvl w:ilvl="8" w:tplc="0809001B" w:tentative="1">
      <w:start w:val="1"/>
      <w:numFmt w:val="lowerRoman"/>
      <w:lvlText w:val="%9."/>
      <w:lvlJc w:val="right"/>
      <w:pPr>
        <w:ind w:left="7222" w:hanging="180"/>
      </w:pPr>
    </w:lvl>
  </w:abstractNum>
  <w:abstractNum w:abstractNumId="19" w15:restartNumberingAfterBreak="0">
    <w:nsid w:val="2B342F87"/>
    <w:multiLevelType w:val="hybridMultilevel"/>
    <w:tmpl w:val="0720CA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5D2EC9"/>
    <w:multiLevelType w:val="hybridMultilevel"/>
    <w:tmpl w:val="FDF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2009F2"/>
    <w:multiLevelType w:val="hybridMultilevel"/>
    <w:tmpl w:val="7C0C5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7702B8"/>
    <w:multiLevelType w:val="multilevel"/>
    <w:tmpl w:val="3A648F44"/>
    <w:lvl w:ilvl="0">
      <w:start w:val="16"/>
      <w:numFmt w:val="decimal"/>
      <w:lvlText w:val="%1"/>
      <w:lvlJc w:val="left"/>
      <w:pPr>
        <w:ind w:left="525" w:hanging="525"/>
      </w:pPr>
      <w:rPr>
        <w:rFonts w:hint="default"/>
      </w:rPr>
    </w:lvl>
    <w:lvl w:ilvl="1">
      <w:start w:val="5"/>
      <w:numFmt w:val="decimal"/>
      <w:lvlText w:val="%1.%2"/>
      <w:lvlJc w:val="left"/>
      <w:pPr>
        <w:ind w:left="1042" w:hanging="52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631" w:hanging="108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4025" w:hanging="144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419" w:hanging="1800"/>
      </w:pPr>
      <w:rPr>
        <w:rFonts w:hint="default"/>
      </w:rPr>
    </w:lvl>
    <w:lvl w:ilvl="8">
      <w:start w:val="1"/>
      <w:numFmt w:val="decimal"/>
      <w:lvlText w:val="%1.%2.%3.%4.%5.%6.%7.%8.%9"/>
      <w:lvlJc w:val="left"/>
      <w:pPr>
        <w:ind w:left="5936" w:hanging="1800"/>
      </w:pPr>
      <w:rPr>
        <w:rFonts w:hint="default"/>
      </w:rPr>
    </w:lvl>
  </w:abstractNum>
  <w:abstractNum w:abstractNumId="23" w15:restartNumberingAfterBreak="0">
    <w:nsid w:val="38572C89"/>
    <w:multiLevelType w:val="multilevel"/>
    <w:tmpl w:val="92C04CB6"/>
    <w:lvl w:ilvl="0">
      <w:start w:val="10"/>
      <w:numFmt w:val="decimal"/>
      <w:lvlText w:val="%1"/>
      <w:lvlJc w:val="left"/>
      <w:pPr>
        <w:ind w:left="420" w:hanging="420"/>
      </w:pPr>
      <w:rPr>
        <w:rFonts w:hint="default"/>
      </w:rPr>
    </w:lvl>
    <w:lvl w:ilvl="1">
      <w:start w:val="6"/>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DA64B60"/>
    <w:multiLevelType w:val="hybridMultilevel"/>
    <w:tmpl w:val="56824C6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6B290F"/>
    <w:multiLevelType w:val="hybridMultilevel"/>
    <w:tmpl w:val="BC64B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C22334"/>
    <w:multiLevelType w:val="hybridMultilevel"/>
    <w:tmpl w:val="68DC3488"/>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7" w15:restartNumberingAfterBreak="0">
    <w:nsid w:val="47153E23"/>
    <w:multiLevelType w:val="hybridMultilevel"/>
    <w:tmpl w:val="A0DEF862"/>
    <w:lvl w:ilvl="0" w:tplc="928EB49A">
      <w:start w:val="1"/>
      <w:numFmt w:val="bullet"/>
      <w:pStyle w:val="Bulletlist1"/>
      <w:lvlText w:val="n"/>
      <w:lvlJc w:val="left"/>
      <w:pPr>
        <w:ind w:left="777" w:hanging="360"/>
      </w:pPr>
      <w:rPr>
        <w:rFonts w:ascii="Wingdings" w:hAnsi="Wingdings" w:hint="default"/>
        <w:color w:val="BFBFBF"/>
      </w:rPr>
    </w:lvl>
    <w:lvl w:ilvl="1" w:tplc="08090003">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48540AE7"/>
    <w:multiLevelType w:val="hybridMultilevel"/>
    <w:tmpl w:val="ED44F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7850F5"/>
    <w:multiLevelType w:val="multilevel"/>
    <w:tmpl w:val="0792BBEE"/>
    <w:lvl w:ilvl="0">
      <w:start w:val="24"/>
      <w:numFmt w:val="decimal"/>
      <w:lvlText w:val="%1"/>
      <w:lvlJc w:val="left"/>
      <w:pPr>
        <w:ind w:left="375" w:hanging="375"/>
      </w:pPr>
      <w:rPr>
        <w:rFonts w:hint="default"/>
      </w:rPr>
    </w:lvl>
    <w:lvl w:ilvl="1">
      <w:start w:val="1"/>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30" w15:restartNumberingAfterBreak="0">
    <w:nsid w:val="49E466D0"/>
    <w:multiLevelType w:val="multilevel"/>
    <w:tmpl w:val="D5500A46"/>
    <w:lvl w:ilvl="0">
      <w:start w:val="11"/>
      <w:numFmt w:val="decimal"/>
      <w:lvlText w:val="%1"/>
      <w:lvlJc w:val="left"/>
      <w:pPr>
        <w:ind w:left="420" w:hanging="420"/>
      </w:pPr>
      <w:rPr>
        <w:rFonts w:hint="default"/>
      </w:rPr>
    </w:lvl>
    <w:lvl w:ilvl="1">
      <w:start w:val="5"/>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A44477D"/>
    <w:multiLevelType w:val="hybridMultilevel"/>
    <w:tmpl w:val="85BC1380"/>
    <w:lvl w:ilvl="0" w:tplc="00010409">
      <w:start w:val="1"/>
      <w:numFmt w:val="bullet"/>
      <w:lvlText w:val=""/>
      <w:lvlJc w:val="left"/>
      <w:pPr>
        <w:ind w:left="1464" w:hanging="360"/>
      </w:pPr>
      <w:rPr>
        <w:rFonts w:ascii="Symbol" w:hAnsi="Symbol" w:hint="default"/>
      </w:rPr>
    </w:lvl>
    <w:lvl w:ilvl="1" w:tplc="00030409" w:tentative="1">
      <w:start w:val="1"/>
      <w:numFmt w:val="bullet"/>
      <w:lvlText w:val="o"/>
      <w:lvlJc w:val="left"/>
      <w:pPr>
        <w:ind w:left="2184" w:hanging="360"/>
      </w:pPr>
      <w:rPr>
        <w:rFonts w:ascii="Courier New" w:hAnsi="Courier New" w:hint="default"/>
      </w:rPr>
    </w:lvl>
    <w:lvl w:ilvl="2" w:tplc="00050409" w:tentative="1">
      <w:start w:val="1"/>
      <w:numFmt w:val="bullet"/>
      <w:lvlText w:val=""/>
      <w:lvlJc w:val="left"/>
      <w:pPr>
        <w:ind w:left="2904" w:hanging="360"/>
      </w:pPr>
      <w:rPr>
        <w:rFonts w:ascii="Wingdings" w:hAnsi="Wingdings" w:hint="default"/>
      </w:rPr>
    </w:lvl>
    <w:lvl w:ilvl="3" w:tplc="00010409" w:tentative="1">
      <w:start w:val="1"/>
      <w:numFmt w:val="bullet"/>
      <w:lvlText w:val=""/>
      <w:lvlJc w:val="left"/>
      <w:pPr>
        <w:ind w:left="3624" w:hanging="360"/>
      </w:pPr>
      <w:rPr>
        <w:rFonts w:ascii="Symbol" w:hAnsi="Symbol" w:hint="default"/>
      </w:rPr>
    </w:lvl>
    <w:lvl w:ilvl="4" w:tplc="00030409" w:tentative="1">
      <w:start w:val="1"/>
      <w:numFmt w:val="bullet"/>
      <w:lvlText w:val="o"/>
      <w:lvlJc w:val="left"/>
      <w:pPr>
        <w:ind w:left="4344" w:hanging="360"/>
      </w:pPr>
      <w:rPr>
        <w:rFonts w:ascii="Courier New" w:hAnsi="Courier New" w:hint="default"/>
      </w:rPr>
    </w:lvl>
    <w:lvl w:ilvl="5" w:tplc="00050409" w:tentative="1">
      <w:start w:val="1"/>
      <w:numFmt w:val="bullet"/>
      <w:lvlText w:val=""/>
      <w:lvlJc w:val="left"/>
      <w:pPr>
        <w:ind w:left="5064" w:hanging="360"/>
      </w:pPr>
      <w:rPr>
        <w:rFonts w:ascii="Wingdings" w:hAnsi="Wingdings" w:hint="default"/>
      </w:rPr>
    </w:lvl>
    <w:lvl w:ilvl="6" w:tplc="00010409" w:tentative="1">
      <w:start w:val="1"/>
      <w:numFmt w:val="bullet"/>
      <w:lvlText w:val=""/>
      <w:lvlJc w:val="left"/>
      <w:pPr>
        <w:ind w:left="5784" w:hanging="360"/>
      </w:pPr>
      <w:rPr>
        <w:rFonts w:ascii="Symbol" w:hAnsi="Symbol" w:hint="default"/>
      </w:rPr>
    </w:lvl>
    <w:lvl w:ilvl="7" w:tplc="00030409" w:tentative="1">
      <w:start w:val="1"/>
      <w:numFmt w:val="bullet"/>
      <w:lvlText w:val="o"/>
      <w:lvlJc w:val="left"/>
      <w:pPr>
        <w:ind w:left="6504" w:hanging="360"/>
      </w:pPr>
      <w:rPr>
        <w:rFonts w:ascii="Courier New" w:hAnsi="Courier New" w:hint="default"/>
      </w:rPr>
    </w:lvl>
    <w:lvl w:ilvl="8" w:tplc="00050409" w:tentative="1">
      <w:start w:val="1"/>
      <w:numFmt w:val="bullet"/>
      <w:lvlText w:val=""/>
      <w:lvlJc w:val="left"/>
      <w:pPr>
        <w:ind w:left="7224" w:hanging="360"/>
      </w:pPr>
      <w:rPr>
        <w:rFonts w:ascii="Wingdings" w:hAnsi="Wingdings" w:hint="default"/>
      </w:rPr>
    </w:lvl>
  </w:abstractNum>
  <w:abstractNum w:abstractNumId="32" w15:restartNumberingAfterBreak="0">
    <w:nsid w:val="52A43318"/>
    <w:multiLevelType w:val="hybridMultilevel"/>
    <w:tmpl w:val="A9BC1F10"/>
    <w:lvl w:ilvl="0" w:tplc="5E0412B4">
      <w:start w:val="1"/>
      <w:numFmt w:val="bullet"/>
      <w:lvlText w:val=""/>
      <w:lvlJc w:val="left"/>
      <w:pPr>
        <w:ind w:left="720" w:hanging="360"/>
      </w:pPr>
      <w:rPr>
        <w:rFonts w:ascii="Wingdings" w:hAnsi="Wingdings" w:hint="default"/>
      </w:rPr>
    </w:lvl>
    <w:lvl w:ilvl="1" w:tplc="1690EC46">
      <w:start w:val="1"/>
      <w:numFmt w:val="bullet"/>
      <w:pStyle w:val="Bulletlistlevel2"/>
      <w:lvlText w:val=""/>
      <w:lvlJc w:val="left"/>
      <w:pPr>
        <w:ind w:left="1440" w:hanging="360"/>
      </w:pPr>
      <w:rPr>
        <w:rFonts w:ascii="Symbol" w:hAnsi="Symbol" w:hint="default"/>
      </w:rPr>
    </w:lvl>
    <w:lvl w:ilvl="2" w:tplc="3F96B346" w:tentative="1">
      <w:start w:val="1"/>
      <w:numFmt w:val="bullet"/>
      <w:lvlText w:val=""/>
      <w:lvlJc w:val="left"/>
      <w:pPr>
        <w:ind w:left="2160" w:hanging="360"/>
      </w:pPr>
      <w:rPr>
        <w:rFonts w:ascii="Wingdings" w:hAnsi="Wingdings" w:hint="default"/>
      </w:rPr>
    </w:lvl>
    <w:lvl w:ilvl="3" w:tplc="2CFE8F3C" w:tentative="1">
      <w:start w:val="1"/>
      <w:numFmt w:val="bullet"/>
      <w:lvlText w:val=""/>
      <w:lvlJc w:val="left"/>
      <w:pPr>
        <w:ind w:left="2880" w:hanging="360"/>
      </w:pPr>
      <w:rPr>
        <w:rFonts w:ascii="Symbol" w:hAnsi="Symbol" w:hint="default"/>
      </w:rPr>
    </w:lvl>
    <w:lvl w:ilvl="4" w:tplc="8CA86DAE" w:tentative="1">
      <w:start w:val="1"/>
      <w:numFmt w:val="bullet"/>
      <w:lvlText w:val="o"/>
      <w:lvlJc w:val="left"/>
      <w:pPr>
        <w:ind w:left="3600" w:hanging="360"/>
      </w:pPr>
      <w:rPr>
        <w:rFonts w:ascii="Courier New" w:hAnsi="Courier New" w:hint="default"/>
      </w:rPr>
    </w:lvl>
    <w:lvl w:ilvl="5" w:tplc="406CC34E" w:tentative="1">
      <w:start w:val="1"/>
      <w:numFmt w:val="bullet"/>
      <w:lvlText w:val=""/>
      <w:lvlJc w:val="left"/>
      <w:pPr>
        <w:ind w:left="4320" w:hanging="360"/>
      </w:pPr>
      <w:rPr>
        <w:rFonts w:ascii="Wingdings" w:hAnsi="Wingdings" w:hint="default"/>
      </w:rPr>
    </w:lvl>
    <w:lvl w:ilvl="6" w:tplc="11C06FAA" w:tentative="1">
      <w:start w:val="1"/>
      <w:numFmt w:val="bullet"/>
      <w:lvlText w:val=""/>
      <w:lvlJc w:val="left"/>
      <w:pPr>
        <w:ind w:left="5040" w:hanging="360"/>
      </w:pPr>
      <w:rPr>
        <w:rFonts w:ascii="Symbol" w:hAnsi="Symbol" w:hint="default"/>
      </w:rPr>
    </w:lvl>
    <w:lvl w:ilvl="7" w:tplc="68C498AA" w:tentative="1">
      <w:start w:val="1"/>
      <w:numFmt w:val="bullet"/>
      <w:lvlText w:val="o"/>
      <w:lvlJc w:val="left"/>
      <w:pPr>
        <w:ind w:left="5760" w:hanging="360"/>
      </w:pPr>
      <w:rPr>
        <w:rFonts w:ascii="Courier New" w:hAnsi="Courier New" w:hint="default"/>
      </w:rPr>
    </w:lvl>
    <w:lvl w:ilvl="8" w:tplc="52D895B4" w:tentative="1">
      <w:start w:val="1"/>
      <w:numFmt w:val="bullet"/>
      <w:lvlText w:val=""/>
      <w:lvlJc w:val="left"/>
      <w:pPr>
        <w:ind w:left="6480" w:hanging="360"/>
      </w:pPr>
      <w:rPr>
        <w:rFonts w:ascii="Wingdings" w:hAnsi="Wingdings" w:hint="default"/>
      </w:rPr>
    </w:lvl>
  </w:abstractNum>
  <w:abstractNum w:abstractNumId="33" w15:restartNumberingAfterBreak="0">
    <w:nsid w:val="58614D7F"/>
    <w:multiLevelType w:val="multilevel"/>
    <w:tmpl w:val="FAB4853C"/>
    <w:lvl w:ilvl="0">
      <w:start w:val="1"/>
      <w:numFmt w:val="bullet"/>
      <w:lvlText w:val=""/>
      <w:lvlJc w:val="left"/>
      <w:pPr>
        <w:tabs>
          <w:tab w:val="num" w:pos="1282"/>
        </w:tabs>
        <w:ind w:left="1282" w:hanging="432"/>
      </w:pPr>
      <w:rPr>
        <w:rFonts w:ascii="Symbol" w:hAnsi="Symbol" w:hint="default"/>
        <w:sz w:val="20"/>
      </w:rPr>
    </w:lvl>
    <w:lvl w:ilvl="1">
      <w:start w:val="1"/>
      <w:numFmt w:val="bullet"/>
      <w:lvlText w:val="o"/>
      <w:lvlJc w:val="left"/>
      <w:pPr>
        <w:tabs>
          <w:tab w:val="num" w:pos="2290"/>
        </w:tabs>
        <w:ind w:left="2290" w:hanging="360"/>
      </w:pPr>
      <w:rPr>
        <w:rFonts w:ascii="Courier New" w:hAnsi="Courier New" w:hint="default"/>
      </w:rPr>
    </w:lvl>
    <w:lvl w:ilvl="2">
      <w:start w:val="1"/>
      <w:numFmt w:val="lowerLetter"/>
      <w:lvlText w:val="(%3)"/>
      <w:lvlJc w:val="left"/>
      <w:pPr>
        <w:tabs>
          <w:tab w:val="num" w:pos="3010"/>
        </w:tabs>
        <w:ind w:left="3010" w:hanging="360"/>
      </w:pPr>
      <w:rPr>
        <w:rFonts w:hint="default"/>
      </w:rPr>
    </w:lvl>
    <w:lvl w:ilvl="3">
      <w:start w:val="1"/>
      <w:numFmt w:val="lowerRoman"/>
      <w:lvlText w:val="%4."/>
      <w:lvlJc w:val="right"/>
      <w:pPr>
        <w:ind w:left="4090" w:hanging="720"/>
      </w:pPr>
      <w:rPr>
        <w:rFonts w:hint="default"/>
      </w:rPr>
    </w:lvl>
    <w:lvl w:ilvl="4" w:tentative="1">
      <w:start w:val="1"/>
      <w:numFmt w:val="bullet"/>
      <w:lvlText w:val="o"/>
      <w:lvlJc w:val="left"/>
      <w:pPr>
        <w:tabs>
          <w:tab w:val="num" w:pos="4450"/>
        </w:tabs>
        <w:ind w:left="4450" w:hanging="360"/>
      </w:pPr>
      <w:rPr>
        <w:rFonts w:ascii="Courier New" w:hAnsi="Courier New" w:hint="default"/>
      </w:rPr>
    </w:lvl>
    <w:lvl w:ilvl="5" w:tentative="1">
      <w:start w:val="1"/>
      <w:numFmt w:val="bullet"/>
      <w:lvlText w:val=""/>
      <w:lvlJc w:val="left"/>
      <w:pPr>
        <w:tabs>
          <w:tab w:val="num" w:pos="5170"/>
        </w:tabs>
        <w:ind w:left="5170" w:hanging="360"/>
      </w:pPr>
      <w:rPr>
        <w:rFonts w:ascii="Wingdings" w:hAnsi="Wingdings" w:hint="default"/>
      </w:rPr>
    </w:lvl>
    <w:lvl w:ilvl="6" w:tentative="1">
      <w:start w:val="1"/>
      <w:numFmt w:val="bullet"/>
      <w:lvlText w:val=""/>
      <w:lvlJc w:val="left"/>
      <w:pPr>
        <w:tabs>
          <w:tab w:val="num" w:pos="5890"/>
        </w:tabs>
        <w:ind w:left="5890" w:hanging="360"/>
      </w:pPr>
      <w:rPr>
        <w:rFonts w:ascii="Symbol" w:hAnsi="Symbol" w:hint="default"/>
      </w:rPr>
    </w:lvl>
    <w:lvl w:ilvl="7" w:tentative="1">
      <w:start w:val="1"/>
      <w:numFmt w:val="bullet"/>
      <w:lvlText w:val="o"/>
      <w:lvlJc w:val="left"/>
      <w:pPr>
        <w:tabs>
          <w:tab w:val="num" w:pos="6610"/>
        </w:tabs>
        <w:ind w:left="6610" w:hanging="360"/>
      </w:pPr>
      <w:rPr>
        <w:rFonts w:ascii="Courier New" w:hAnsi="Courier New" w:hint="default"/>
      </w:rPr>
    </w:lvl>
    <w:lvl w:ilvl="8" w:tentative="1">
      <w:start w:val="1"/>
      <w:numFmt w:val="bullet"/>
      <w:lvlText w:val=""/>
      <w:lvlJc w:val="left"/>
      <w:pPr>
        <w:tabs>
          <w:tab w:val="num" w:pos="7330"/>
        </w:tabs>
        <w:ind w:left="7330" w:hanging="360"/>
      </w:pPr>
      <w:rPr>
        <w:rFonts w:ascii="Wingdings" w:hAnsi="Wingdings" w:hint="default"/>
      </w:rPr>
    </w:lvl>
  </w:abstractNum>
  <w:abstractNum w:abstractNumId="34" w15:restartNumberingAfterBreak="0">
    <w:nsid w:val="5AFA71E7"/>
    <w:multiLevelType w:val="hybridMultilevel"/>
    <w:tmpl w:val="E710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B16C30"/>
    <w:multiLevelType w:val="hybridMultilevel"/>
    <w:tmpl w:val="CD46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317F54"/>
    <w:multiLevelType w:val="multilevel"/>
    <w:tmpl w:val="1624DB32"/>
    <w:lvl w:ilvl="0">
      <w:start w:val="1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5DA139AD"/>
    <w:multiLevelType w:val="multilevel"/>
    <w:tmpl w:val="B6009A9E"/>
    <w:lvl w:ilvl="0">
      <w:start w:val="17"/>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0F84A02"/>
    <w:multiLevelType w:val="multilevel"/>
    <w:tmpl w:val="05641D12"/>
    <w:lvl w:ilvl="0">
      <w:start w:val="18"/>
      <w:numFmt w:val="decimal"/>
      <w:lvlText w:val="%1"/>
      <w:lvlJc w:val="left"/>
      <w:pPr>
        <w:ind w:left="375" w:hanging="375"/>
      </w:pPr>
      <w:rPr>
        <w:rFonts w:hint="default"/>
        <w:b/>
        <w:sz w:val="22"/>
      </w:rPr>
    </w:lvl>
    <w:lvl w:ilvl="1">
      <w:start w:val="4"/>
      <w:numFmt w:val="decimal"/>
      <w:lvlText w:val="%1.%2"/>
      <w:lvlJc w:val="left"/>
      <w:pPr>
        <w:ind w:left="942" w:hanging="375"/>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39" w15:restartNumberingAfterBreak="0">
    <w:nsid w:val="631E3197"/>
    <w:multiLevelType w:val="hybridMultilevel"/>
    <w:tmpl w:val="70A4E7F8"/>
    <w:lvl w:ilvl="0" w:tplc="04090001">
      <w:start w:val="1"/>
      <w:numFmt w:val="bullet"/>
      <w:lvlText w:val=""/>
      <w:lvlJc w:val="left"/>
      <w:pPr>
        <w:tabs>
          <w:tab w:val="num" w:pos="925"/>
        </w:tabs>
        <w:ind w:left="925" w:hanging="360"/>
      </w:pPr>
      <w:rPr>
        <w:rFonts w:ascii="Symbol" w:hAnsi="Symbol" w:hint="default"/>
      </w:rPr>
    </w:lvl>
    <w:lvl w:ilvl="1" w:tplc="04090003" w:tentative="1">
      <w:start w:val="1"/>
      <w:numFmt w:val="bullet"/>
      <w:lvlText w:val="o"/>
      <w:lvlJc w:val="left"/>
      <w:pPr>
        <w:tabs>
          <w:tab w:val="num" w:pos="1645"/>
        </w:tabs>
        <w:ind w:left="1645" w:hanging="360"/>
      </w:pPr>
      <w:rPr>
        <w:rFonts w:ascii="Courier New" w:hAnsi="Courier New" w:cs="Courier New" w:hint="default"/>
      </w:rPr>
    </w:lvl>
    <w:lvl w:ilvl="2" w:tplc="04090005" w:tentative="1">
      <w:start w:val="1"/>
      <w:numFmt w:val="bullet"/>
      <w:lvlText w:val=""/>
      <w:lvlJc w:val="left"/>
      <w:pPr>
        <w:tabs>
          <w:tab w:val="num" w:pos="2365"/>
        </w:tabs>
        <w:ind w:left="2365" w:hanging="360"/>
      </w:pPr>
      <w:rPr>
        <w:rFonts w:ascii="Wingdings" w:hAnsi="Wingdings" w:hint="default"/>
      </w:rPr>
    </w:lvl>
    <w:lvl w:ilvl="3" w:tplc="04090001" w:tentative="1">
      <w:start w:val="1"/>
      <w:numFmt w:val="bullet"/>
      <w:lvlText w:val=""/>
      <w:lvlJc w:val="left"/>
      <w:pPr>
        <w:tabs>
          <w:tab w:val="num" w:pos="3085"/>
        </w:tabs>
        <w:ind w:left="3085" w:hanging="360"/>
      </w:pPr>
      <w:rPr>
        <w:rFonts w:ascii="Symbol" w:hAnsi="Symbol" w:hint="default"/>
      </w:rPr>
    </w:lvl>
    <w:lvl w:ilvl="4" w:tplc="04090003" w:tentative="1">
      <w:start w:val="1"/>
      <w:numFmt w:val="bullet"/>
      <w:lvlText w:val="o"/>
      <w:lvlJc w:val="left"/>
      <w:pPr>
        <w:tabs>
          <w:tab w:val="num" w:pos="3805"/>
        </w:tabs>
        <w:ind w:left="3805" w:hanging="360"/>
      </w:pPr>
      <w:rPr>
        <w:rFonts w:ascii="Courier New" w:hAnsi="Courier New" w:cs="Courier New" w:hint="default"/>
      </w:rPr>
    </w:lvl>
    <w:lvl w:ilvl="5" w:tplc="04090005" w:tentative="1">
      <w:start w:val="1"/>
      <w:numFmt w:val="bullet"/>
      <w:lvlText w:val=""/>
      <w:lvlJc w:val="left"/>
      <w:pPr>
        <w:tabs>
          <w:tab w:val="num" w:pos="4525"/>
        </w:tabs>
        <w:ind w:left="4525" w:hanging="360"/>
      </w:pPr>
      <w:rPr>
        <w:rFonts w:ascii="Wingdings" w:hAnsi="Wingdings" w:hint="default"/>
      </w:rPr>
    </w:lvl>
    <w:lvl w:ilvl="6" w:tplc="04090001" w:tentative="1">
      <w:start w:val="1"/>
      <w:numFmt w:val="bullet"/>
      <w:lvlText w:val=""/>
      <w:lvlJc w:val="left"/>
      <w:pPr>
        <w:tabs>
          <w:tab w:val="num" w:pos="5245"/>
        </w:tabs>
        <w:ind w:left="5245" w:hanging="360"/>
      </w:pPr>
      <w:rPr>
        <w:rFonts w:ascii="Symbol" w:hAnsi="Symbol" w:hint="default"/>
      </w:rPr>
    </w:lvl>
    <w:lvl w:ilvl="7" w:tplc="04090003" w:tentative="1">
      <w:start w:val="1"/>
      <w:numFmt w:val="bullet"/>
      <w:lvlText w:val="o"/>
      <w:lvlJc w:val="left"/>
      <w:pPr>
        <w:tabs>
          <w:tab w:val="num" w:pos="5965"/>
        </w:tabs>
        <w:ind w:left="5965" w:hanging="360"/>
      </w:pPr>
      <w:rPr>
        <w:rFonts w:ascii="Courier New" w:hAnsi="Courier New" w:cs="Courier New" w:hint="default"/>
      </w:rPr>
    </w:lvl>
    <w:lvl w:ilvl="8" w:tplc="04090005" w:tentative="1">
      <w:start w:val="1"/>
      <w:numFmt w:val="bullet"/>
      <w:lvlText w:val=""/>
      <w:lvlJc w:val="left"/>
      <w:pPr>
        <w:tabs>
          <w:tab w:val="num" w:pos="6685"/>
        </w:tabs>
        <w:ind w:left="6685" w:hanging="360"/>
      </w:pPr>
      <w:rPr>
        <w:rFonts w:ascii="Wingdings" w:hAnsi="Wingdings" w:hint="default"/>
      </w:rPr>
    </w:lvl>
  </w:abstractNum>
  <w:abstractNum w:abstractNumId="40" w15:restartNumberingAfterBreak="0">
    <w:nsid w:val="6A4D5865"/>
    <w:multiLevelType w:val="multilevel"/>
    <w:tmpl w:val="CBE6F026"/>
    <w:lvl w:ilvl="0">
      <w:start w:val="7"/>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E18644C"/>
    <w:multiLevelType w:val="hybridMultilevel"/>
    <w:tmpl w:val="E6444714"/>
    <w:lvl w:ilvl="0" w:tplc="3BEE67D8">
      <w:start w:val="1"/>
      <w:numFmt w:val="decimal"/>
      <w:lvlText w:val="%1."/>
      <w:lvlJc w:val="righ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866C58"/>
    <w:multiLevelType w:val="multilevel"/>
    <w:tmpl w:val="066E0A0C"/>
    <w:lvl w:ilvl="0">
      <w:start w:val="11"/>
      <w:numFmt w:val="decimal"/>
      <w:lvlText w:val="%1"/>
      <w:lvlJc w:val="left"/>
      <w:pPr>
        <w:ind w:left="375" w:hanging="375"/>
      </w:pPr>
      <w:rPr>
        <w:rFonts w:hint="default"/>
      </w:rPr>
    </w:lvl>
    <w:lvl w:ilvl="1">
      <w:start w:val="4"/>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79AE5D46"/>
    <w:multiLevelType w:val="multilevel"/>
    <w:tmpl w:val="37E46D4A"/>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7AD7554B"/>
    <w:multiLevelType w:val="multilevel"/>
    <w:tmpl w:val="E10AE112"/>
    <w:lvl w:ilvl="0">
      <w:start w:val="11"/>
      <w:numFmt w:val="decimal"/>
      <w:lvlText w:val="%1"/>
      <w:lvlJc w:val="left"/>
      <w:pPr>
        <w:ind w:left="525" w:hanging="525"/>
      </w:pPr>
      <w:rPr>
        <w:rFonts w:hint="default"/>
      </w:rPr>
    </w:lvl>
    <w:lvl w:ilvl="1">
      <w:start w:val="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7B000EA7"/>
    <w:multiLevelType w:val="hybridMultilevel"/>
    <w:tmpl w:val="C520F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2"/>
  </w:num>
  <w:num w:numId="3">
    <w:abstractNumId w:val="10"/>
  </w:num>
  <w:num w:numId="4">
    <w:abstractNumId w:val="27"/>
  </w:num>
  <w:num w:numId="5">
    <w:abstractNumId w:val="33"/>
  </w:num>
  <w:num w:numId="6">
    <w:abstractNumId w:val="1"/>
  </w:num>
  <w:num w:numId="7">
    <w:abstractNumId w:val="9"/>
  </w:num>
  <w:num w:numId="8">
    <w:abstractNumId w:val="19"/>
  </w:num>
  <w:num w:numId="9">
    <w:abstractNumId w:val="17"/>
  </w:num>
  <w:num w:numId="10">
    <w:abstractNumId w:val="26"/>
  </w:num>
  <w:num w:numId="11">
    <w:abstractNumId w:val="39"/>
  </w:num>
  <w:num w:numId="12">
    <w:abstractNumId w:val="21"/>
  </w:num>
  <w:num w:numId="13">
    <w:abstractNumId w:val="20"/>
  </w:num>
  <w:num w:numId="14">
    <w:abstractNumId w:val="10"/>
  </w:num>
  <w:num w:numId="15">
    <w:abstractNumId w:val="40"/>
  </w:num>
  <w:num w:numId="16">
    <w:abstractNumId w:val="14"/>
  </w:num>
  <w:num w:numId="17">
    <w:abstractNumId w:val="45"/>
  </w:num>
  <w:num w:numId="18">
    <w:abstractNumId w:val="16"/>
  </w:num>
  <w:num w:numId="19">
    <w:abstractNumId w:val="24"/>
  </w:num>
  <w:num w:numId="20">
    <w:abstractNumId w:val="7"/>
  </w:num>
  <w:num w:numId="21">
    <w:abstractNumId w:val="6"/>
  </w:num>
  <w:num w:numId="22">
    <w:abstractNumId w:val="3"/>
  </w:num>
  <w:num w:numId="23">
    <w:abstractNumId w:val="18"/>
  </w:num>
  <w:num w:numId="24">
    <w:abstractNumId w:val="35"/>
  </w:num>
  <w:num w:numId="25">
    <w:abstractNumId w:val="41"/>
  </w:num>
  <w:num w:numId="26">
    <w:abstractNumId w:val="22"/>
  </w:num>
  <w:num w:numId="27">
    <w:abstractNumId w:val="15"/>
  </w:num>
  <w:num w:numId="28">
    <w:abstractNumId w:val="28"/>
  </w:num>
  <w:num w:numId="29">
    <w:abstractNumId w:val="13"/>
  </w:num>
  <w:num w:numId="30">
    <w:abstractNumId w:val="10"/>
    <w:lvlOverride w:ilvl="0">
      <w:startOverride w:val="11"/>
    </w:lvlOverride>
  </w:num>
  <w:num w:numId="31">
    <w:abstractNumId w:val="23"/>
  </w:num>
  <w:num w:numId="32">
    <w:abstractNumId w:val="10"/>
    <w:lvlOverride w:ilvl="0">
      <w:startOverride w:val="11"/>
    </w:lvlOverride>
  </w:num>
  <w:num w:numId="33">
    <w:abstractNumId w:val="44"/>
  </w:num>
  <w:num w:numId="34">
    <w:abstractNumId w:val="10"/>
  </w:num>
  <w:num w:numId="35">
    <w:abstractNumId w:val="10"/>
  </w:num>
  <w:num w:numId="36">
    <w:abstractNumId w:val="8"/>
  </w:num>
  <w:num w:numId="37">
    <w:abstractNumId w:val="11"/>
  </w:num>
  <w:num w:numId="38">
    <w:abstractNumId w:val="30"/>
  </w:num>
  <w:num w:numId="39">
    <w:abstractNumId w:val="10"/>
    <w:lvlOverride w:ilvl="0">
      <w:startOverride w:val="12"/>
    </w:lvlOverride>
  </w:num>
  <w:num w:numId="40">
    <w:abstractNumId w:val="43"/>
  </w:num>
  <w:num w:numId="41">
    <w:abstractNumId w:val="2"/>
  </w:num>
  <w:num w:numId="42">
    <w:abstractNumId w:val="4"/>
  </w:num>
  <w:num w:numId="43">
    <w:abstractNumId w:val="36"/>
  </w:num>
  <w:num w:numId="44">
    <w:abstractNumId w:val="38"/>
  </w:num>
  <w:num w:numId="45">
    <w:abstractNumId w:val="37"/>
  </w:num>
  <w:num w:numId="46">
    <w:abstractNumId w:val="10"/>
  </w:num>
  <w:num w:numId="47">
    <w:abstractNumId w:val="29"/>
  </w:num>
  <w:num w:numId="48">
    <w:abstractNumId w:val="0"/>
  </w:num>
  <w:num w:numId="49">
    <w:abstractNumId w:val="25"/>
  </w:num>
  <w:num w:numId="50">
    <w:abstractNumId w:val="42"/>
  </w:num>
  <w:num w:numId="51">
    <w:abstractNumId w:val="31"/>
  </w:num>
  <w:num w:numId="52">
    <w:abstractNumId w:val="34"/>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drawingGridHorizontalSpacing w:val="115"/>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E5"/>
    <w:rsid w:val="0000513E"/>
    <w:rsid w:val="00007E5F"/>
    <w:rsid w:val="00010828"/>
    <w:rsid w:val="00011EB0"/>
    <w:rsid w:val="0001248D"/>
    <w:rsid w:val="0001610B"/>
    <w:rsid w:val="00016424"/>
    <w:rsid w:val="00017A8C"/>
    <w:rsid w:val="000224DB"/>
    <w:rsid w:val="0002675A"/>
    <w:rsid w:val="00026844"/>
    <w:rsid w:val="00026E3F"/>
    <w:rsid w:val="00032D21"/>
    <w:rsid w:val="00032EC8"/>
    <w:rsid w:val="00033BCA"/>
    <w:rsid w:val="00035AA0"/>
    <w:rsid w:val="00040AA5"/>
    <w:rsid w:val="00047852"/>
    <w:rsid w:val="00050807"/>
    <w:rsid w:val="00050CF7"/>
    <w:rsid w:val="000531D6"/>
    <w:rsid w:val="00057B58"/>
    <w:rsid w:val="00057C30"/>
    <w:rsid w:val="00060B85"/>
    <w:rsid w:val="00061833"/>
    <w:rsid w:val="00066938"/>
    <w:rsid w:val="000703EC"/>
    <w:rsid w:val="00072E09"/>
    <w:rsid w:val="00073C83"/>
    <w:rsid w:val="00074827"/>
    <w:rsid w:val="00074AF8"/>
    <w:rsid w:val="000778D5"/>
    <w:rsid w:val="00082709"/>
    <w:rsid w:val="000837F0"/>
    <w:rsid w:val="00084591"/>
    <w:rsid w:val="00085148"/>
    <w:rsid w:val="00085CD5"/>
    <w:rsid w:val="00085D22"/>
    <w:rsid w:val="00086A22"/>
    <w:rsid w:val="00086BFE"/>
    <w:rsid w:val="00087D84"/>
    <w:rsid w:val="0009014A"/>
    <w:rsid w:val="00090ABA"/>
    <w:rsid w:val="00093682"/>
    <w:rsid w:val="00094BDE"/>
    <w:rsid w:val="00095144"/>
    <w:rsid w:val="0009567E"/>
    <w:rsid w:val="000975BF"/>
    <w:rsid w:val="00097A66"/>
    <w:rsid w:val="000A1492"/>
    <w:rsid w:val="000A2801"/>
    <w:rsid w:val="000A3046"/>
    <w:rsid w:val="000A78F6"/>
    <w:rsid w:val="000B1299"/>
    <w:rsid w:val="000B4BC8"/>
    <w:rsid w:val="000B5C5B"/>
    <w:rsid w:val="000C1F99"/>
    <w:rsid w:val="000C2939"/>
    <w:rsid w:val="000C3802"/>
    <w:rsid w:val="000C4973"/>
    <w:rsid w:val="000C680B"/>
    <w:rsid w:val="000C7D25"/>
    <w:rsid w:val="000D7440"/>
    <w:rsid w:val="000D77A4"/>
    <w:rsid w:val="000E120A"/>
    <w:rsid w:val="000E39E8"/>
    <w:rsid w:val="000E3B2B"/>
    <w:rsid w:val="000E52D2"/>
    <w:rsid w:val="000F5E4A"/>
    <w:rsid w:val="000F6C1C"/>
    <w:rsid w:val="00102DBD"/>
    <w:rsid w:val="00104ACF"/>
    <w:rsid w:val="001119A7"/>
    <w:rsid w:val="001124AF"/>
    <w:rsid w:val="00112880"/>
    <w:rsid w:val="00112A39"/>
    <w:rsid w:val="001138BB"/>
    <w:rsid w:val="001156D3"/>
    <w:rsid w:val="00122145"/>
    <w:rsid w:val="00130DF2"/>
    <w:rsid w:val="00131081"/>
    <w:rsid w:val="00132825"/>
    <w:rsid w:val="00132B5C"/>
    <w:rsid w:val="0013334E"/>
    <w:rsid w:val="0013492E"/>
    <w:rsid w:val="0013526D"/>
    <w:rsid w:val="00135A7E"/>
    <w:rsid w:val="00137BB6"/>
    <w:rsid w:val="00143EEE"/>
    <w:rsid w:val="00146B57"/>
    <w:rsid w:val="00150188"/>
    <w:rsid w:val="00151A38"/>
    <w:rsid w:val="0015457C"/>
    <w:rsid w:val="001612E2"/>
    <w:rsid w:val="0016328A"/>
    <w:rsid w:val="0016402B"/>
    <w:rsid w:val="00173619"/>
    <w:rsid w:val="0017396B"/>
    <w:rsid w:val="00174B90"/>
    <w:rsid w:val="0017537D"/>
    <w:rsid w:val="00175BAF"/>
    <w:rsid w:val="00176142"/>
    <w:rsid w:val="00176265"/>
    <w:rsid w:val="00176857"/>
    <w:rsid w:val="0018329E"/>
    <w:rsid w:val="00184325"/>
    <w:rsid w:val="001905CA"/>
    <w:rsid w:val="00191A77"/>
    <w:rsid w:val="001929E5"/>
    <w:rsid w:val="00196D7C"/>
    <w:rsid w:val="001A0852"/>
    <w:rsid w:val="001A638A"/>
    <w:rsid w:val="001A6632"/>
    <w:rsid w:val="001A66B9"/>
    <w:rsid w:val="001B02B1"/>
    <w:rsid w:val="001B0691"/>
    <w:rsid w:val="001B6B54"/>
    <w:rsid w:val="001B7C40"/>
    <w:rsid w:val="001C1C8F"/>
    <w:rsid w:val="001C5CF7"/>
    <w:rsid w:val="001C7AA0"/>
    <w:rsid w:val="001C7DCD"/>
    <w:rsid w:val="001D0A87"/>
    <w:rsid w:val="001D462B"/>
    <w:rsid w:val="001D4DFD"/>
    <w:rsid w:val="001D7EBC"/>
    <w:rsid w:val="001E0347"/>
    <w:rsid w:val="001E05DA"/>
    <w:rsid w:val="001E580B"/>
    <w:rsid w:val="001E7A39"/>
    <w:rsid w:val="001E7DAA"/>
    <w:rsid w:val="001F1993"/>
    <w:rsid w:val="001F2852"/>
    <w:rsid w:val="001F34E1"/>
    <w:rsid w:val="001F3B23"/>
    <w:rsid w:val="00200451"/>
    <w:rsid w:val="00200607"/>
    <w:rsid w:val="00204240"/>
    <w:rsid w:val="00212142"/>
    <w:rsid w:val="00217B4F"/>
    <w:rsid w:val="00217F5A"/>
    <w:rsid w:val="00220FE3"/>
    <w:rsid w:val="00221FD6"/>
    <w:rsid w:val="0022335A"/>
    <w:rsid w:val="00234B5B"/>
    <w:rsid w:val="00236703"/>
    <w:rsid w:val="00243604"/>
    <w:rsid w:val="0025241E"/>
    <w:rsid w:val="002533F9"/>
    <w:rsid w:val="00257819"/>
    <w:rsid w:val="00257A9E"/>
    <w:rsid w:val="002669A0"/>
    <w:rsid w:val="00273DF1"/>
    <w:rsid w:val="002746E2"/>
    <w:rsid w:val="00277F6C"/>
    <w:rsid w:val="00280E44"/>
    <w:rsid w:val="00286340"/>
    <w:rsid w:val="00286903"/>
    <w:rsid w:val="00287AA3"/>
    <w:rsid w:val="00294C8E"/>
    <w:rsid w:val="002955F7"/>
    <w:rsid w:val="00295C0F"/>
    <w:rsid w:val="00296FAA"/>
    <w:rsid w:val="00297FBB"/>
    <w:rsid w:val="002A35D7"/>
    <w:rsid w:val="002A3C4B"/>
    <w:rsid w:val="002A4020"/>
    <w:rsid w:val="002A44B5"/>
    <w:rsid w:val="002A62E6"/>
    <w:rsid w:val="002B2933"/>
    <w:rsid w:val="002B4B19"/>
    <w:rsid w:val="002B6C13"/>
    <w:rsid w:val="002C42CC"/>
    <w:rsid w:val="002C4D42"/>
    <w:rsid w:val="002C6DDB"/>
    <w:rsid w:val="002D1E7E"/>
    <w:rsid w:val="002D2300"/>
    <w:rsid w:val="002D4CBA"/>
    <w:rsid w:val="002D52F1"/>
    <w:rsid w:val="002D5A1A"/>
    <w:rsid w:val="002D6269"/>
    <w:rsid w:val="002D636F"/>
    <w:rsid w:val="002D7664"/>
    <w:rsid w:val="002D7CF8"/>
    <w:rsid w:val="002E263E"/>
    <w:rsid w:val="002E341D"/>
    <w:rsid w:val="002E5874"/>
    <w:rsid w:val="002E6BD8"/>
    <w:rsid w:val="002E6F48"/>
    <w:rsid w:val="002E7E87"/>
    <w:rsid w:val="002F77E5"/>
    <w:rsid w:val="003030EB"/>
    <w:rsid w:val="003034F0"/>
    <w:rsid w:val="00320B74"/>
    <w:rsid w:val="0032154D"/>
    <w:rsid w:val="00321F70"/>
    <w:rsid w:val="00322993"/>
    <w:rsid w:val="00327FD0"/>
    <w:rsid w:val="00332EDA"/>
    <w:rsid w:val="00333EE0"/>
    <w:rsid w:val="003369D2"/>
    <w:rsid w:val="0033744A"/>
    <w:rsid w:val="003374A4"/>
    <w:rsid w:val="00342442"/>
    <w:rsid w:val="00342661"/>
    <w:rsid w:val="00344D93"/>
    <w:rsid w:val="003465DC"/>
    <w:rsid w:val="0034681D"/>
    <w:rsid w:val="00350371"/>
    <w:rsid w:val="003516E4"/>
    <w:rsid w:val="00353D0D"/>
    <w:rsid w:val="00356399"/>
    <w:rsid w:val="003617EA"/>
    <w:rsid w:val="00361A0F"/>
    <w:rsid w:val="00365395"/>
    <w:rsid w:val="0037030C"/>
    <w:rsid w:val="00371C42"/>
    <w:rsid w:val="0037259A"/>
    <w:rsid w:val="003727A9"/>
    <w:rsid w:val="003757D9"/>
    <w:rsid w:val="0038422D"/>
    <w:rsid w:val="00385E1A"/>
    <w:rsid w:val="00385E4C"/>
    <w:rsid w:val="0038681C"/>
    <w:rsid w:val="0039094F"/>
    <w:rsid w:val="00390EA1"/>
    <w:rsid w:val="003928EA"/>
    <w:rsid w:val="003940FD"/>
    <w:rsid w:val="00396C9B"/>
    <w:rsid w:val="0039749C"/>
    <w:rsid w:val="00397BFD"/>
    <w:rsid w:val="003A30F8"/>
    <w:rsid w:val="003A6F5A"/>
    <w:rsid w:val="003A6F73"/>
    <w:rsid w:val="003A7002"/>
    <w:rsid w:val="003B1E6F"/>
    <w:rsid w:val="003B2285"/>
    <w:rsid w:val="003B3A25"/>
    <w:rsid w:val="003B439A"/>
    <w:rsid w:val="003B5AFA"/>
    <w:rsid w:val="003C0E46"/>
    <w:rsid w:val="003C37E2"/>
    <w:rsid w:val="003C5180"/>
    <w:rsid w:val="003C5C84"/>
    <w:rsid w:val="003D0743"/>
    <w:rsid w:val="003D0E5D"/>
    <w:rsid w:val="003D3796"/>
    <w:rsid w:val="003D401E"/>
    <w:rsid w:val="003D42A8"/>
    <w:rsid w:val="003D4F92"/>
    <w:rsid w:val="003D6328"/>
    <w:rsid w:val="003E0B5F"/>
    <w:rsid w:val="003E30B2"/>
    <w:rsid w:val="003E61CA"/>
    <w:rsid w:val="003F10E4"/>
    <w:rsid w:val="003F160C"/>
    <w:rsid w:val="003F4E1B"/>
    <w:rsid w:val="003F5187"/>
    <w:rsid w:val="003F712A"/>
    <w:rsid w:val="004035D5"/>
    <w:rsid w:val="004131C7"/>
    <w:rsid w:val="00413CFB"/>
    <w:rsid w:val="00415038"/>
    <w:rsid w:val="004150E2"/>
    <w:rsid w:val="0041671D"/>
    <w:rsid w:val="00417341"/>
    <w:rsid w:val="00421151"/>
    <w:rsid w:val="00421304"/>
    <w:rsid w:val="00423DCE"/>
    <w:rsid w:val="00433FF6"/>
    <w:rsid w:val="004375DD"/>
    <w:rsid w:val="00437F91"/>
    <w:rsid w:val="004477EE"/>
    <w:rsid w:val="00447CDC"/>
    <w:rsid w:val="004500BA"/>
    <w:rsid w:val="004571CC"/>
    <w:rsid w:val="00462926"/>
    <w:rsid w:val="00464477"/>
    <w:rsid w:val="00465365"/>
    <w:rsid w:val="00467531"/>
    <w:rsid w:val="00467935"/>
    <w:rsid w:val="00471918"/>
    <w:rsid w:val="00474644"/>
    <w:rsid w:val="004771D3"/>
    <w:rsid w:val="0047754E"/>
    <w:rsid w:val="00482949"/>
    <w:rsid w:val="00483A92"/>
    <w:rsid w:val="004843E3"/>
    <w:rsid w:val="00484912"/>
    <w:rsid w:val="00485A78"/>
    <w:rsid w:val="004947BB"/>
    <w:rsid w:val="00497E27"/>
    <w:rsid w:val="004A00AA"/>
    <w:rsid w:val="004A00AD"/>
    <w:rsid w:val="004A1546"/>
    <w:rsid w:val="004A4453"/>
    <w:rsid w:val="004A56B8"/>
    <w:rsid w:val="004A66BE"/>
    <w:rsid w:val="004B3705"/>
    <w:rsid w:val="004B52A6"/>
    <w:rsid w:val="004D18DC"/>
    <w:rsid w:val="004D1CF3"/>
    <w:rsid w:val="004D438D"/>
    <w:rsid w:val="004D598E"/>
    <w:rsid w:val="004E02E6"/>
    <w:rsid w:val="004E1392"/>
    <w:rsid w:val="004F0B0C"/>
    <w:rsid w:val="004F1B5C"/>
    <w:rsid w:val="004F2ECA"/>
    <w:rsid w:val="004F3BB5"/>
    <w:rsid w:val="004F51E2"/>
    <w:rsid w:val="004F6058"/>
    <w:rsid w:val="004F6578"/>
    <w:rsid w:val="004F7115"/>
    <w:rsid w:val="004F72E8"/>
    <w:rsid w:val="00501CCB"/>
    <w:rsid w:val="00502509"/>
    <w:rsid w:val="005026FF"/>
    <w:rsid w:val="005077F6"/>
    <w:rsid w:val="00512291"/>
    <w:rsid w:val="005138B0"/>
    <w:rsid w:val="00517C1B"/>
    <w:rsid w:val="005220DC"/>
    <w:rsid w:val="005239CB"/>
    <w:rsid w:val="00525E6B"/>
    <w:rsid w:val="0053247C"/>
    <w:rsid w:val="00534C49"/>
    <w:rsid w:val="00536368"/>
    <w:rsid w:val="00541D9C"/>
    <w:rsid w:val="005477A9"/>
    <w:rsid w:val="005578F8"/>
    <w:rsid w:val="0056018B"/>
    <w:rsid w:val="00560A38"/>
    <w:rsid w:val="00561531"/>
    <w:rsid w:val="005626FC"/>
    <w:rsid w:val="0056340A"/>
    <w:rsid w:val="00564824"/>
    <w:rsid w:val="005712B9"/>
    <w:rsid w:val="005752C5"/>
    <w:rsid w:val="00576096"/>
    <w:rsid w:val="00577167"/>
    <w:rsid w:val="0058137C"/>
    <w:rsid w:val="00583494"/>
    <w:rsid w:val="0058579D"/>
    <w:rsid w:val="00585A54"/>
    <w:rsid w:val="00586EF2"/>
    <w:rsid w:val="00587EC0"/>
    <w:rsid w:val="005A12AE"/>
    <w:rsid w:val="005A1733"/>
    <w:rsid w:val="005B11FB"/>
    <w:rsid w:val="005B3860"/>
    <w:rsid w:val="005B5E3C"/>
    <w:rsid w:val="005C14D6"/>
    <w:rsid w:val="005C1DC6"/>
    <w:rsid w:val="005C4B4A"/>
    <w:rsid w:val="005C5E8F"/>
    <w:rsid w:val="005D0185"/>
    <w:rsid w:val="005D0383"/>
    <w:rsid w:val="005D160B"/>
    <w:rsid w:val="005D4D9D"/>
    <w:rsid w:val="005D797E"/>
    <w:rsid w:val="005E18C0"/>
    <w:rsid w:val="005E1BA6"/>
    <w:rsid w:val="005E3347"/>
    <w:rsid w:val="005E3FFB"/>
    <w:rsid w:val="005F0819"/>
    <w:rsid w:val="005F120F"/>
    <w:rsid w:val="005F137D"/>
    <w:rsid w:val="005F178E"/>
    <w:rsid w:val="005F278C"/>
    <w:rsid w:val="005F4E4D"/>
    <w:rsid w:val="005F7418"/>
    <w:rsid w:val="0060123F"/>
    <w:rsid w:val="006040DF"/>
    <w:rsid w:val="006065D6"/>
    <w:rsid w:val="00610A21"/>
    <w:rsid w:val="006112FE"/>
    <w:rsid w:val="00611F37"/>
    <w:rsid w:val="00612DF2"/>
    <w:rsid w:val="00615251"/>
    <w:rsid w:val="006170E8"/>
    <w:rsid w:val="0062198E"/>
    <w:rsid w:val="00623E77"/>
    <w:rsid w:val="0063031D"/>
    <w:rsid w:val="006307FE"/>
    <w:rsid w:val="006313CA"/>
    <w:rsid w:val="00632C73"/>
    <w:rsid w:val="006348D2"/>
    <w:rsid w:val="00637B97"/>
    <w:rsid w:val="00642222"/>
    <w:rsid w:val="0064273A"/>
    <w:rsid w:val="00644B4C"/>
    <w:rsid w:val="006453B3"/>
    <w:rsid w:val="0064622B"/>
    <w:rsid w:val="0064695C"/>
    <w:rsid w:val="00655398"/>
    <w:rsid w:val="00655B34"/>
    <w:rsid w:val="0065794C"/>
    <w:rsid w:val="006628CF"/>
    <w:rsid w:val="00664F9C"/>
    <w:rsid w:val="006679C6"/>
    <w:rsid w:val="00671133"/>
    <w:rsid w:val="006718AA"/>
    <w:rsid w:val="006726A5"/>
    <w:rsid w:val="00674D67"/>
    <w:rsid w:val="006753C3"/>
    <w:rsid w:val="00676E9A"/>
    <w:rsid w:val="00676FE5"/>
    <w:rsid w:val="00680C46"/>
    <w:rsid w:val="0068298C"/>
    <w:rsid w:val="006849C0"/>
    <w:rsid w:val="00691AE9"/>
    <w:rsid w:val="0069550F"/>
    <w:rsid w:val="006965FE"/>
    <w:rsid w:val="006A1BC8"/>
    <w:rsid w:val="006A278D"/>
    <w:rsid w:val="006A6C0B"/>
    <w:rsid w:val="006A75C4"/>
    <w:rsid w:val="006B288C"/>
    <w:rsid w:val="006B469D"/>
    <w:rsid w:val="006B4BDE"/>
    <w:rsid w:val="006B6E15"/>
    <w:rsid w:val="006C297C"/>
    <w:rsid w:val="006C342B"/>
    <w:rsid w:val="006C3F43"/>
    <w:rsid w:val="006C5BD8"/>
    <w:rsid w:val="006C6F57"/>
    <w:rsid w:val="006C7B7F"/>
    <w:rsid w:val="006D19C7"/>
    <w:rsid w:val="006D1B59"/>
    <w:rsid w:val="006D1C0C"/>
    <w:rsid w:val="006D1E16"/>
    <w:rsid w:val="006D6477"/>
    <w:rsid w:val="006D6704"/>
    <w:rsid w:val="006D7537"/>
    <w:rsid w:val="006E29D0"/>
    <w:rsid w:val="006E3DFF"/>
    <w:rsid w:val="006E54E5"/>
    <w:rsid w:val="006E6027"/>
    <w:rsid w:val="006F157E"/>
    <w:rsid w:val="006F5F98"/>
    <w:rsid w:val="0070535F"/>
    <w:rsid w:val="00705DD1"/>
    <w:rsid w:val="007104C5"/>
    <w:rsid w:val="00711378"/>
    <w:rsid w:val="00712212"/>
    <w:rsid w:val="00714704"/>
    <w:rsid w:val="0071785A"/>
    <w:rsid w:val="007201D9"/>
    <w:rsid w:val="00721834"/>
    <w:rsid w:val="00721B52"/>
    <w:rsid w:val="00724746"/>
    <w:rsid w:val="007323DC"/>
    <w:rsid w:val="00733CD9"/>
    <w:rsid w:val="0073422C"/>
    <w:rsid w:val="007355AD"/>
    <w:rsid w:val="00735601"/>
    <w:rsid w:val="00735F01"/>
    <w:rsid w:val="00740EB3"/>
    <w:rsid w:val="007416BE"/>
    <w:rsid w:val="0074294E"/>
    <w:rsid w:val="007450D0"/>
    <w:rsid w:val="00745836"/>
    <w:rsid w:val="00746D96"/>
    <w:rsid w:val="00751544"/>
    <w:rsid w:val="00752F0E"/>
    <w:rsid w:val="00755C1D"/>
    <w:rsid w:val="007570ED"/>
    <w:rsid w:val="00760D3D"/>
    <w:rsid w:val="00763426"/>
    <w:rsid w:val="00764183"/>
    <w:rsid w:val="007655F3"/>
    <w:rsid w:val="007662B2"/>
    <w:rsid w:val="0077209F"/>
    <w:rsid w:val="00773E22"/>
    <w:rsid w:val="007746BB"/>
    <w:rsid w:val="00775573"/>
    <w:rsid w:val="0078150A"/>
    <w:rsid w:val="007857A6"/>
    <w:rsid w:val="007910CD"/>
    <w:rsid w:val="00793CA2"/>
    <w:rsid w:val="007A326C"/>
    <w:rsid w:val="007A5DA1"/>
    <w:rsid w:val="007A6C0D"/>
    <w:rsid w:val="007A7A19"/>
    <w:rsid w:val="007B031E"/>
    <w:rsid w:val="007B285C"/>
    <w:rsid w:val="007C15AC"/>
    <w:rsid w:val="007C7E31"/>
    <w:rsid w:val="007D016C"/>
    <w:rsid w:val="007D60A3"/>
    <w:rsid w:val="007E2834"/>
    <w:rsid w:val="007E48ED"/>
    <w:rsid w:val="007E4ED0"/>
    <w:rsid w:val="007E61DF"/>
    <w:rsid w:val="007E657E"/>
    <w:rsid w:val="007F1B60"/>
    <w:rsid w:val="007F1DEE"/>
    <w:rsid w:val="007F429C"/>
    <w:rsid w:val="007F4526"/>
    <w:rsid w:val="007F6710"/>
    <w:rsid w:val="008002BF"/>
    <w:rsid w:val="008031D9"/>
    <w:rsid w:val="00804C99"/>
    <w:rsid w:val="00812C36"/>
    <w:rsid w:val="00815E78"/>
    <w:rsid w:val="00816518"/>
    <w:rsid w:val="00821C19"/>
    <w:rsid w:val="00827938"/>
    <w:rsid w:val="00833C99"/>
    <w:rsid w:val="00833E9A"/>
    <w:rsid w:val="00835A47"/>
    <w:rsid w:val="00835F99"/>
    <w:rsid w:val="00837A2E"/>
    <w:rsid w:val="00840FF7"/>
    <w:rsid w:val="00843D03"/>
    <w:rsid w:val="008442E1"/>
    <w:rsid w:val="00844EA9"/>
    <w:rsid w:val="008454DA"/>
    <w:rsid w:val="00852663"/>
    <w:rsid w:val="00853508"/>
    <w:rsid w:val="00854B49"/>
    <w:rsid w:val="0085530A"/>
    <w:rsid w:val="00861ADC"/>
    <w:rsid w:val="008627AB"/>
    <w:rsid w:val="00862E37"/>
    <w:rsid w:val="0086748C"/>
    <w:rsid w:val="00867745"/>
    <w:rsid w:val="008710B6"/>
    <w:rsid w:val="00873AA2"/>
    <w:rsid w:val="00881696"/>
    <w:rsid w:val="008837D8"/>
    <w:rsid w:val="00885DC7"/>
    <w:rsid w:val="00886AD0"/>
    <w:rsid w:val="00887F55"/>
    <w:rsid w:val="00890400"/>
    <w:rsid w:val="00891894"/>
    <w:rsid w:val="00893CB9"/>
    <w:rsid w:val="00894BA9"/>
    <w:rsid w:val="00895103"/>
    <w:rsid w:val="00897378"/>
    <w:rsid w:val="0089741A"/>
    <w:rsid w:val="008A2D38"/>
    <w:rsid w:val="008A74A6"/>
    <w:rsid w:val="008B140B"/>
    <w:rsid w:val="008B1507"/>
    <w:rsid w:val="008B2669"/>
    <w:rsid w:val="008B45B6"/>
    <w:rsid w:val="008B45E8"/>
    <w:rsid w:val="008B4BDE"/>
    <w:rsid w:val="008B7233"/>
    <w:rsid w:val="008B7D77"/>
    <w:rsid w:val="008C12C0"/>
    <w:rsid w:val="008C2BAF"/>
    <w:rsid w:val="008C2FD0"/>
    <w:rsid w:val="008C5D58"/>
    <w:rsid w:val="008D330E"/>
    <w:rsid w:val="008D34DB"/>
    <w:rsid w:val="008E30E8"/>
    <w:rsid w:val="008E5D98"/>
    <w:rsid w:val="008E7A38"/>
    <w:rsid w:val="008F18DD"/>
    <w:rsid w:val="008F5D12"/>
    <w:rsid w:val="008F6893"/>
    <w:rsid w:val="00900786"/>
    <w:rsid w:val="00901789"/>
    <w:rsid w:val="00902B7E"/>
    <w:rsid w:val="00903DBF"/>
    <w:rsid w:val="0090691D"/>
    <w:rsid w:val="009079A9"/>
    <w:rsid w:val="00911BFD"/>
    <w:rsid w:val="00914FB0"/>
    <w:rsid w:val="009159D0"/>
    <w:rsid w:val="009224FE"/>
    <w:rsid w:val="00922857"/>
    <w:rsid w:val="00922D25"/>
    <w:rsid w:val="00924817"/>
    <w:rsid w:val="009251CB"/>
    <w:rsid w:val="00926B6F"/>
    <w:rsid w:val="00930EEC"/>
    <w:rsid w:val="00931DD5"/>
    <w:rsid w:val="00934073"/>
    <w:rsid w:val="009365FC"/>
    <w:rsid w:val="00940F6D"/>
    <w:rsid w:val="00942222"/>
    <w:rsid w:val="00946D71"/>
    <w:rsid w:val="00950A13"/>
    <w:rsid w:val="00952BE4"/>
    <w:rsid w:val="00952FC0"/>
    <w:rsid w:val="00954BA5"/>
    <w:rsid w:val="009572F5"/>
    <w:rsid w:val="00957C55"/>
    <w:rsid w:val="00960BDE"/>
    <w:rsid w:val="009620F6"/>
    <w:rsid w:val="00964906"/>
    <w:rsid w:val="009701F1"/>
    <w:rsid w:val="00971508"/>
    <w:rsid w:val="00971EFA"/>
    <w:rsid w:val="00972ADB"/>
    <w:rsid w:val="00973274"/>
    <w:rsid w:val="00974C84"/>
    <w:rsid w:val="0098284C"/>
    <w:rsid w:val="00983E69"/>
    <w:rsid w:val="009848A5"/>
    <w:rsid w:val="00990432"/>
    <w:rsid w:val="00995D02"/>
    <w:rsid w:val="0099697A"/>
    <w:rsid w:val="00996B61"/>
    <w:rsid w:val="009A1590"/>
    <w:rsid w:val="009A28E3"/>
    <w:rsid w:val="009A5202"/>
    <w:rsid w:val="009B127A"/>
    <w:rsid w:val="009B1811"/>
    <w:rsid w:val="009B5447"/>
    <w:rsid w:val="009C1465"/>
    <w:rsid w:val="009C5FAB"/>
    <w:rsid w:val="009D0045"/>
    <w:rsid w:val="009D07C7"/>
    <w:rsid w:val="009D08DA"/>
    <w:rsid w:val="009D5C09"/>
    <w:rsid w:val="009E26F5"/>
    <w:rsid w:val="009E2AD3"/>
    <w:rsid w:val="009E2E2D"/>
    <w:rsid w:val="009E48D3"/>
    <w:rsid w:val="009E7A34"/>
    <w:rsid w:val="009F5EF6"/>
    <w:rsid w:val="009F6DEC"/>
    <w:rsid w:val="00A026C6"/>
    <w:rsid w:val="00A027DF"/>
    <w:rsid w:val="00A04B6F"/>
    <w:rsid w:val="00A0793C"/>
    <w:rsid w:val="00A11091"/>
    <w:rsid w:val="00A14760"/>
    <w:rsid w:val="00A15174"/>
    <w:rsid w:val="00A16617"/>
    <w:rsid w:val="00A17627"/>
    <w:rsid w:val="00A221CE"/>
    <w:rsid w:val="00A22263"/>
    <w:rsid w:val="00A26322"/>
    <w:rsid w:val="00A31391"/>
    <w:rsid w:val="00A31A7B"/>
    <w:rsid w:val="00A3319B"/>
    <w:rsid w:val="00A3337E"/>
    <w:rsid w:val="00A37476"/>
    <w:rsid w:val="00A41AF3"/>
    <w:rsid w:val="00A477A3"/>
    <w:rsid w:val="00A502B3"/>
    <w:rsid w:val="00A50B7A"/>
    <w:rsid w:val="00A51AFB"/>
    <w:rsid w:val="00A52E7D"/>
    <w:rsid w:val="00A53F07"/>
    <w:rsid w:val="00A55B94"/>
    <w:rsid w:val="00A67E01"/>
    <w:rsid w:val="00A73A84"/>
    <w:rsid w:val="00A755B4"/>
    <w:rsid w:val="00A75A6F"/>
    <w:rsid w:val="00A77851"/>
    <w:rsid w:val="00A8286E"/>
    <w:rsid w:val="00A82901"/>
    <w:rsid w:val="00A90B4E"/>
    <w:rsid w:val="00A92473"/>
    <w:rsid w:val="00A9397D"/>
    <w:rsid w:val="00A96A8F"/>
    <w:rsid w:val="00AA0ECD"/>
    <w:rsid w:val="00AA43B5"/>
    <w:rsid w:val="00AA5BD9"/>
    <w:rsid w:val="00AB22EC"/>
    <w:rsid w:val="00AB257E"/>
    <w:rsid w:val="00AB3890"/>
    <w:rsid w:val="00AB3D2F"/>
    <w:rsid w:val="00AB3F70"/>
    <w:rsid w:val="00AC063E"/>
    <w:rsid w:val="00AC1A43"/>
    <w:rsid w:val="00AC5E98"/>
    <w:rsid w:val="00AD1EC1"/>
    <w:rsid w:val="00AD306E"/>
    <w:rsid w:val="00AD4946"/>
    <w:rsid w:val="00AD58B7"/>
    <w:rsid w:val="00AD6E1E"/>
    <w:rsid w:val="00AE00CF"/>
    <w:rsid w:val="00AE0708"/>
    <w:rsid w:val="00AE4375"/>
    <w:rsid w:val="00AE54E3"/>
    <w:rsid w:val="00AF0475"/>
    <w:rsid w:val="00AF23D6"/>
    <w:rsid w:val="00AF33BE"/>
    <w:rsid w:val="00AF362A"/>
    <w:rsid w:val="00AF4FDF"/>
    <w:rsid w:val="00AF55BE"/>
    <w:rsid w:val="00AF7D0B"/>
    <w:rsid w:val="00B002BF"/>
    <w:rsid w:val="00B109EB"/>
    <w:rsid w:val="00B1288B"/>
    <w:rsid w:val="00B164DA"/>
    <w:rsid w:val="00B17218"/>
    <w:rsid w:val="00B17751"/>
    <w:rsid w:val="00B20092"/>
    <w:rsid w:val="00B203ED"/>
    <w:rsid w:val="00B214D0"/>
    <w:rsid w:val="00B217D1"/>
    <w:rsid w:val="00B22311"/>
    <w:rsid w:val="00B234EB"/>
    <w:rsid w:val="00B254F4"/>
    <w:rsid w:val="00B2656A"/>
    <w:rsid w:val="00B26DCB"/>
    <w:rsid w:val="00B348AE"/>
    <w:rsid w:val="00B34B69"/>
    <w:rsid w:val="00B35BDF"/>
    <w:rsid w:val="00B402C2"/>
    <w:rsid w:val="00B44541"/>
    <w:rsid w:val="00B467BB"/>
    <w:rsid w:val="00B46911"/>
    <w:rsid w:val="00B50592"/>
    <w:rsid w:val="00B50EE7"/>
    <w:rsid w:val="00B51670"/>
    <w:rsid w:val="00B520F1"/>
    <w:rsid w:val="00B54B2B"/>
    <w:rsid w:val="00B579C5"/>
    <w:rsid w:val="00B60C2F"/>
    <w:rsid w:val="00B62BE4"/>
    <w:rsid w:val="00B64563"/>
    <w:rsid w:val="00B66B8A"/>
    <w:rsid w:val="00B73080"/>
    <w:rsid w:val="00B73A26"/>
    <w:rsid w:val="00B7587A"/>
    <w:rsid w:val="00B83370"/>
    <w:rsid w:val="00B86202"/>
    <w:rsid w:val="00B86C80"/>
    <w:rsid w:val="00B92380"/>
    <w:rsid w:val="00BA146E"/>
    <w:rsid w:val="00BA1BC3"/>
    <w:rsid w:val="00BA58E9"/>
    <w:rsid w:val="00BB50C7"/>
    <w:rsid w:val="00BB667E"/>
    <w:rsid w:val="00BC436E"/>
    <w:rsid w:val="00BC55F9"/>
    <w:rsid w:val="00BC6B05"/>
    <w:rsid w:val="00BD0876"/>
    <w:rsid w:val="00BD1406"/>
    <w:rsid w:val="00BD1825"/>
    <w:rsid w:val="00BD62CA"/>
    <w:rsid w:val="00BE152A"/>
    <w:rsid w:val="00BE203F"/>
    <w:rsid w:val="00BE45F3"/>
    <w:rsid w:val="00BE47E2"/>
    <w:rsid w:val="00BE59F8"/>
    <w:rsid w:val="00BF00DE"/>
    <w:rsid w:val="00BF3D3E"/>
    <w:rsid w:val="00BF3F72"/>
    <w:rsid w:val="00BF4155"/>
    <w:rsid w:val="00BF4AE3"/>
    <w:rsid w:val="00BF4CA9"/>
    <w:rsid w:val="00C0095D"/>
    <w:rsid w:val="00C04468"/>
    <w:rsid w:val="00C13EBF"/>
    <w:rsid w:val="00C20FDC"/>
    <w:rsid w:val="00C22E1F"/>
    <w:rsid w:val="00C235BC"/>
    <w:rsid w:val="00C2531F"/>
    <w:rsid w:val="00C30506"/>
    <w:rsid w:val="00C33F44"/>
    <w:rsid w:val="00C35B05"/>
    <w:rsid w:val="00C40D86"/>
    <w:rsid w:val="00C419B2"/>
    <w:rsid w:val="00C4283D"/>
    <w:rsid w:val="00C44CE8"/>
    <w:rsid w:val="00C528C1"/>
    <w:rsid w:val="00C53F32"/>
    <w:rsid w:val="00C6226D"/>
    <w:rsid w:val="00C62F4D"/>
    <w:rsid w:val="00C662DB"/>
    <w:rsid w:val="00C67449"/>
    <w:rsid w:val="00C70917"/>
    <w:rsid w:val="00C70C5B"/>
    <w:rsid w:val="00C72667"/>
    <w:rsid w:val="00C75570"/>
    <w:rsid w:val="00C773F7"/>
    <w:rsid w:val="00C8348C"/>
    <w:rsid w:val="00C83562"/>
    <w:rsid w:val="00C835D1"/>
    <w:rsid w:val="00C84699"/>
    <w:rsid w:val="00C8470A"/>
    <w:rsid w:val="00C84C6B"/>
    <w:rsid w:val="00C87D46"/>
    <w:rsid w:val="00CA0F01"/>
    <w:rsid w:val="00CA2F71"/>
    <w:rsid w:val="00CA3562"/>
    <w:rsid w:val="00CA7BBF"/>
    <w:rsid w:val="00CB421D"/>
    <w:rsid w:val="00CB4C45"/>
    <w:rsid w:val="00CB641D"/>
    <w:rsid w:val="00CB69DF"/>
    <w:rsid w:val="00CB7704"/>
    <w:rsid w:val="00CC0536"/>
    <w:rsid w:val="00CC119A"/>
    <w:rsid w:val="00CC121B"/>
    <w:rsid w:val="00CC3F6A"/>
    <w:rsid w:val="00CC4734"/>
    <w:rsid w:val="00CD1C69"/>
    <w:rsid w:val="00CD3026"/>
    <w:rsid w:val="00CD4710"/>
    <w:rsid w:val="00CD47A2"/>
    <w:rsid w:val="00CD4B9B"/>
    <w:rsid w:val="00CE194B"/>
    <w:rsid w:val="00CE3C07"/>
    <w:rsid w:val="00CE4DF1"/>
    <w:rsid w:val="00CE5C76"/>
    <w:rsid w:val="00CE708B"/>
    <w:rsid w:val="00CF3074"/>
    <w:rsid w:val="00CF3E05"/>
    <w:rsid w:val="00CF4A95"/>
    <w:rsid w:val="00D008CA"/>
    <w:rsid w:val="00D035BC"/>
    <w:rsid w:val="00D036F0"/>
    <w:rsid w:val="00D05846"/>
    <w:rsid w:val="00D10BA7"/>
    <w:rsid w:val="00D16F48"/>
    <w:rsid w:val="00D178F9"/>
    <w:rsid w:val="00D2137F"/>
    <w:rsid w:val="00D2372E"/>
    <w:rsid w:val="00D23AEA"/>
    <w:rsid w:val="00D31596"/>
    <w:rsid w:val="00D3364A"/>
    <w:rsid w:val="00D35FDC"/>
    <w:rsid w:val="00D401B0"/>
    <w:rsid w:val="00D416A4"/>
    <w:rsid w:val="00D43148"/>
    <w:rsid w:val="00D438B5"/>
    <w:rsid w:val="00D43E33"/>
    <w:rsid w:val="00D44D86"/>
    <w:rsid w:val="00D45EDB"/>
    <w:rsid w:val="00D47005"/>
    <w:rsid w:val="00D47E40"/>
    <w:rsid w:val="00D50811"/>
    <w:rsid w:val="00D53722"/>
    <w:rsid w:val="00D576D3"/>
    <w:rsid w:val="00D62A3C"/>
    <w:rsid w:val="00D634F3"/>
    <w:rsid w:val="00D6477E"/>
    <w:rsid w:val="00D664FD"/>
    <w:rsid w:val="00D77AD7"/>
    <w:rsid w:val="00D90476"/>
    <w:rsid w:val="00D94CE0"/>
    <w:rsid w:val="00D954AB"/>
    <w:rsid w:val="00D96728"/>
    <w:rsid w:val="00D97952"/>
    <w:rsid w:val="00D97B65"/>
    <w:rsid w:val="00D97DB4"/>
    <w:rsid w:val="00DA0345"/>
    <w:rsid w:val="00DA1979"/>
    <w:rsid w:val="00DA5B03"/>
    <w:rsid w:val="00DA7C23"/>
    <w:rsid w:val="00DB0C93"/>
    <w:rsid w:val="00DB435D"/>
    <w:rsid w:val="00DB69C8"/>
    <w:rsid w:val="00DC008E"/>
    <w:rsid w:val="00DC1E5B"/>
    <w:rsid w:val="00DC258D"/>
    <w:rsid w:val="00DC2B1D"/>
    <w:rsid w:val="00DD1E29"/>
    <w:rsid w:val="00DD27A0"/>
    <w:rsid w:val="00DD6625"/>
    <w:rsid w:val="00DE162A"/>
    <w:rsid w:val="00DE43CC"/>
    <w:rsid w:val="00DE57A6"/>
    <w:rsid w:val="00DE6944"/>
    <w:rsid w:val="00DE6DCF"/>
    <w:rsid w:val="00DE7685"/>
    <w:rsid w:val="00DF0F4E"/>
    <w:rsid w:val="00DF1A7B"/>
    <w:rsid w:val="00DF2EB3"/>
    <w:rsid w:val="00DF3A04"/>
    <w:rsid w:val="00E00988"/>
    <w:rsid w:val="00E00E0F"/>
    <w:rsid w:val="00E05452"/>
    <w:rsid w:val="00E05EED"/>
    <w:rsid w:val="00E10391"/>
    <w:rsid w:val="00E10C7F"/>
    <w:rsid w:val="00E153A6"/>
    <w:rsid w:val="00E16848"/>
    <w:rsid w:val="00E20A41"/>
    <w:rsid w:val="00E25CD4"/>
    <w:rsid w:val="00E31FF1"/>
    <w:rsid w:val="00E323D2"/>
    <w:rsid w:val="00E358E0"/>
    <w:rsid w:val="00E3594F"/>
    <w:rsid w:val="00E41217"/>
    <w:rsid w:val="00E42979"/>
    <w:rsid w:val="00E4388B"/>
    <w:rsid w:val="00E45A8C"/>
    <w:rsid w:val="00E45AFA"/>
    <w:rsid w:val="00E462A5"/>
    <w:rsid w:val="00E472B0"/>
    <w:rsid w:val="00E51443"/>
    <w:rsid w:val="00E51CEF"/>
    <w:rsid w:val="00E51DCC"/>
    <w:rsid w:val="00E52DCD"/>
    <w:rsid w:val="00E53C52"/>
    <w:rsid w:val="00E5747A"/>
    <w:rsid w:val="00E60F9A"/>
    <w:rsid w:val="00E66442"/>
    <w:rsid w:val="00E67B1A"/>
    <w:rsid w:val="00E70626"/>
    <w:rsid w:val="00E70A5C"/>
    <w:rsid w:val="00E72BBB"/>
    <w:rsid w:val="00E72E3A"/>
    <w:rsid w:val="00E75239"/>
    <w:rsid w:val="00E75445"/>
    <w:rsid w:val="00E759CE"/>
    <w:rsid w:val="00E76874"/>
    <w:rsid w:val="00E824D7"/>
    <w:rsid w:val="00E8602E"/>
    <w:rsid w:val="00E905DE"/>
    <w:rsid w:val="00E946AF"/>
    <w:rsid w:val="00EA0823"/>
    <w:rsid w:val="00EA0D31"/>
    <w:rsid w:val="00EA378C"/>
    <w:rsid w:val="00EA3B12"/>
    <w:rsid w:val="00EB2C65"/>
    <w:rsid w:val="00EB3394"/>
    <w:rsid w:val="00EB48D5"/>
    <w:rsid w:val="00EC0164"/>
    <w:rsid w:val="00EC0F73"/>
    <w:rsid w:val="00EC242B"/>
    <w:rsid w:val="00EC57AE"/>
    <w:rsid w:val="00EC746C"/>
    <w:rsid w:val="00EC7DEA"/>
    <w:rsid w:val="00ED21AA"/>
    <w:rsid w:val="00ED2F59"/>
    <w:rsid w:val="00ED5C71"/>
    <w:rsid w:val="00ED7933"/>
    <w:rsid w:val="00ED7E94"/>
    <w:rsid w:val="00EE0B34"/>
    <w:rsid w:val="00EE112B"/>
    <w:rsid w:val="00EE3A2D"/>
    <w:rsid w:val="00EE5AFF"/>
    <w:rsid w:val="00EE6906"/>
    <w:rsid w:val="00EE7E6F"/>
    <w:rsid w:val="00EF4ECE"/>
    <w:rsid w:val="00EF6363"/>
    <w:rsid w:val="00EF6AED"/>
    <w:rsid w:val="00F0029C"/>
    <w:rsid w:val="00F00309"/>
    <w:rsid w:val="00F00E98"/>
    <w:rsid w:val="00F01463"/>
    <w:rsid w:val="00F0329C"/>
    <w:rsid w:val="00F03E34"/>
    <w:rsid w:val="00F04824"/>
    <w:rsid w:val="00F04E7E"/>
    <w:rsid w:val="00F117A5"/>
    <w:rsid w:val="00F117C0"/>
    <w:rsid w:val="00F1197E"/>
    <w:rsid w:val="00F11F04"/>
    <w:rsid w:val="00F12F42"/>
    <w:rsid w:val="00F14506"/>
    <w:rsid w:val="00F14B6D"/>
    <w:rsid w:val="00F16718"/>
    <w:rsid w:val="00F16A74"/>
    <w:rsid w:val="00F2061B"/>
    <w:rsid w:val="00F20E5F"/>
    <w:rsid w:val="00F21585"/>
    <w:rsid w:val="00F21C04"/>
    <w:rsid w:val="00F273EB"/>
    <w:rsid w:val="00F30475"/>
    <w:rsid w:val="00F311B8"/>
    <w:rsid w:val="00F314E4"/>
    <w:rsid w:val="00F32409"/>
    <w:rsid w:val="00F35468"/>
    <w:rsid w:val="00F379DC"/>
    <w:rsid w:val="00F412C3"/>
    <w:rsid w:val="00F4235D"/>
    <w:rsid w:val="00F4514D"/>
    <w:rsid w:val="00F4699A"/>
    <w:rsid w:val="00F52C15"/>
    <w:rsid w:val="00F53C76"/>
    <w:rsid w:val="00F563F8"/>
    <w:rsid w:val="00F60EC5"/>
    <w:rsid w:val="00F61B44"/>
    <w:rsid w:val="00F64B1C"/>
    <w:rsid w:val="00F652F0"/>
    <w:rsid w:val="00F65B1B"/>
    <w:rsid w:val="00F65FFE"/>
    <w:rsid w:val="00F716E2"/>
    <w:rsid w:val="00F75B2E"/>
    <w:rsid w:val="00F75B8E"/>
    <w:rsid w:val="00F77EEC"/>
    <w:rsid w:val="00F84C37"/>
    <w:rsid w:val="00F85AE6"/>
    <w:rsid w:val="00F864E9"/>
    <w:rsid w:val="00F917D9"/>
    <w:rsid w:val="00F92CFC"/>
    <w:rsid w:val="00F92DB2"/>
    <w:rsid w:val="00F942F8"/>
    <w:rsid w:val="00FA1922"/>
    <w:rsid w:val="00FA3AFC"/>
    <w:rsid w:val="00FA4AB2"/>
    <w:rsid w:val="00FA4DB7"/>
    <w:rsid w:val="00FB1E6B"/>
    <w:rsid w:val="00FB4896"/>
    <w:rsid w:val="00FB5F28"/>
    <w:rsid w:val="00FB61F9"/>
    <w:rsid w:val="00FB692B"/>
    <w:rsid w:val="00FB6AA8"/>
    <w:rsid w:val="00FB6D3D"/>
    <w:rsid w:val="00FD1FE8"/>
    <w:rsid w:val="00FD74F8"/>
    <w:rsid w:val="00FE0871"/>
    <w:rsid w:val="00FE18BB"/>
    <w:rsid w:val="00FE22B4"/>
    <w:rsid w:val="00FE4FC8"/>
    <w:rsid w:val="00FE5B43"/>
    <w:rsid w:val="00FF4B97"/>
    <w:rsid w:val="00FF5C0D"/>
    <w:rsid w:val="00FF6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D88AB4A"/>
  <w15:docId w15:val="{930D17A7-B62A-4131-B712-7E815A38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22"/>
    <w:pPr>
      <w:spacing w:after="240" w:line="264" w:lineRule="auto"/>
    </w:pPr>
    <w:rPr>
      <w:sz w:val="23"/>
      <w:szCs w:val="24"/>
      <w:lang w:val="en-GB"/>
    </w:rPr>
  </w:style>
  <w:style w:type="paragraph" w:styleId="Heading1">
    <w:name w:val="heading 1"/>
    <w:basedOn w:val="Normal"/>
    <w:next w:val="Normal"/>
    <w:link w:val="Heading1Char"/>
    <w:uiPriority w:val="99"/>
    <w:qFormat/>
    <w:rsid w:val="00E5747A"/>
    <w:pPr>
      <w:tabs>
        <w:tab w:val="left" w:pos="-720"/>
      </w:tabs>
      <w:suppressAutoHyphens/>
      <w:spacing w:before="360" w:after="360" w:line="240" w:lineRule="auto"/>
      <w:outlineLvl w:val="0"/>
    </w:pPr>
    <w:rPr>
      <w:rFonts w:ascii="Tahoma" w:hAnsi="Tahoma" w:cs="Tahoma"/>
      <w:b/>
      <w:spacing w:val="-3"/>
      <w:sz w:val="28"/>
      <w:szCs w:val="20"/>
      <w:lang w:eastAsia="en-GB"/>
    </w:rPr>
  </w:style>
  <w:style w:type="paragraph" w:styleId="Heading2">
    <w:name w:val="heading 2"/>
    <w:basedOn w:val="Normal"/>
    <w:next w:val="Normal"/>
    <w:link w:val="Heading2Char"/>
    <w:uiPriority w:val="99"/>
    <w:qFormat/>
    <w:rsid w:val="00CB7704"/>
    <w:pPr>
      <w:numPr>
        <w:ilvl w:val="1"/>
        <w:numId w:val="14"/>
      </w:numPr>
      <w:tabs>
        <w:tab w:val="left" w:pos="567"/>
      </w:tabs>
      <w:outlineLvl w:val="1"/>
    </w:pPr>
    <w:rPr>
      <w:b/>
    </w:rPr>
  </w:style>
  <w:style w:type="paragraph" w:styleId="Heading3">
    <w:name w:val="heading 3"/>
    <w:basedOn w:val="Normal"/>
    <w:next w:val="Normal"/>
    <w:link w:val="Heading3Char"/>
    <w:uiPriority w:val="99"/>
    <w:qFormat/>
    <w:rsid w:val="0078150A"/>
    <w:pPr>
      <w:numPr>
        <w:ilvl w:val="2"/>
        <w:numId w:val="14"/>
      </w:numPr>
      <w:tabs>
        <w:tab w:val="left" w:pos="567"/>
      </w:tabs>
      <w:spacing w:after="120"/>
      <w:outlineLvl w:val="2"/>
    </w:pPr>
    <w:rPr>
      <w:i/>
    </w:rPr>
  </w:style>
  <w:style w:type="paragraph" w:styleId="Heading4">
    <w:name w:val="heading 4"/>
    <w:basedOn w:val="Normal"/>
    <w:next w:val="Normal"/>
    <w:link w:val="Heading4Char"/>
    <w:uiPriority w:val="99"/>
    <w:qFormat/>
    <w:rsid w:val="00973274"/>
    <w:pPr>
      <w:numPr>
        <w:ilvl w:val="3"/>
        <w:numId w:val="14"/>
      </w:numPr>
      <w:pBdr>
        <w:bottom w:val="single" w:sz="4" w:space="2" w:color="F1F1F1"/>
      </w:pBdr>
      <w:spacing w:before="200" w:after="80"/>
      <w:outlineLvl w:val="3"/>
    </w:pPr>
    <w:rPr>
      <w:rFonts w:ascii="Cambria" w:hAnsi="Cambria"/>
      <w:i/>
      <w:iCs/>
      <w:color w:val="DDDDDD"/>
      <w:sz w:val="24"/>
    </w:rPr>
  </w:style>
  <w:style w:type="paragraph" w:styleId="Heading5">
    <w:name w:val="heading 5"/>
    <w:basedOn w:val="Normal"/>
    <w:next w:val="Normal"/>
    <w:link w:val="Heading5Char"/>
    <w:uiPriority w:val="99"/>
    <w:qFormat/>
    <w:rsid w:val="00973274"/>
    <w:pPr>
      <w:numPr>
        <w:ilvl w:val="4"/>
        <w:numId w:val="14"/>
      </w:numPr>
      <w:spacing w:before="200" w:after="80"/>
      <w:outlineLvl w:val="4"/>
    </w:pPr>
    <w:rPr>
      <w:rFonts w:ascii="Cambria" w:hAnsi="Cambria"/>
      <w:color w:val="DDDDDD"/>
    </w:rPr>
  </w:style>
  <w:style w:type="paragraph" w:styleId="Heading6">
    <w:name w:val="heading 6"/>
    <w:basedOn w:val="Normal"/>
    <w:next w:val="Normal"/>
    <w:link w:val="Heading6Char"/>
    <w:uiPriority w:val="99"/>
    <w:qFormat/>
    <w:rsid w:val="00973274"/>
    <w:pPr>
      <w:numPr>
        <w:ilvl w:val="5"/>
        <w:numId w:val="14"/>
      </w:numPr>
      <w:spacing w:before="280" w:after="100"/>
      <w:outlineLvl w:val="5"/>
    </w:pPr>
    <w:rPr>
      <w:rFonts w:ascii="Cambria" w:hAnsi="Cambria"/>
      <w:i/>
      <w:iCs/>
      <w:color w:val="DDDDDD"/>
    </w:rPr>
  </w:style>
  <w:style w:type="paragraph" w:styleId="Heading7">
    <w:name w:val="heading 7"/>
    <w:basedOn w:val="Normal"/>
    <w:next w:val="Normal"/>
    <w:link w:val="Heading7Char"/>
    <w:uiPriority w:val="99"/>
    <w:qFormat/>
    <w:rsid w:val="00973274"/>
    <w:pPr>
      <w:numPr>
        <w:ilvl w:val="6"/>
        <w:numId w:val="14"/>
      </w:numPr>
      <w:spacing w:before="320" w:after="100"/>
      <w:outlineLvl w:val="6"/>
    </w:pPr>
    <w:rPr>
      <w:rFonts w:ascii="Cambria" w:hAnsi="Cambria"/>
      <w:b/>
      <w:bCs/>
      <w:color w:val="969696"/>
      <w:sz w:val="20"/>
      <w:szCs w:val="20"/>
    </w:rPr>
  </w:style>
  <w:style w:type="paragraph" w:styleId="Heading8">
    <w:name w:val="heading 8"/>
    <w:basedOn w:val="Normal"/>
    <w:next w:val="Normal"/>
    <w:link w:val="Heading8Char"/>
    <w:uiPriority w:val="99"/>
    <w:qFormat/>
    <w:rsid w:val="00973274"/>
    <w:pPr>
      <w:numPr>
        <w:ilvl w:val="7"/>
        <w:numId w:val="14"/>
      </w:numPr>
      <w:spacing w:before="320" w:after="100"/>
      <w:outlineLvl w:val="7"/>
    </w:pPr>
    <w:rPr>
      <w:rFonts w:ascii="Cambria" w:hAnsi="Cambria"/>
      <w:b/>
      <w:bCs/>
      <w:i/>
      <w:iCs/>
      <w:color w:val="969696"/>
      <w:sz w:val="20"/>
      <w:szCs w:val="20"/>
    </w:rPr>
  </w:style>
  <w:style w:type="paragraph" w:styleId="Heading9">
    <w:name w:val="heading 9"/>
    <w:basedOn w:val="Normal"/>
    <w:next w:val="Normal"/>
    <w:link w:val="Heading9Char"/>
    <w:uiPriority w:val="99"/>
    <w:qFormat/>
    <w:rsid w:val="00973274"/>
    <w:pPr>
      <w:numPr>
        <w:ilvl w:val="8"/>
        <w:numId w:val="14"/>
      </w:numPr>
      <w:spacing w:before="320" w:after="100"/>
      <w:outlineLvl w:val="8"/>
    </w:pPr>
    <w:rPr>
      <w:rFonts w:ascii="Cambria" w:hAnsi="Cambria"/>
      <w:i/>
      <w:iCs/>
      <w:color w:val="96969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747A"/>
    <w:rPr>
      <w:rFonts w:ascii="Tahoma" w:hAnsi="Tahoma" w:cs="Tahoma"/>
      <w:b/>
      <w:spacing w:val="-3"/>
      <w:sz w:val="28"/>
    </w:rPr>
  </w:style>
  <w:style w:type="character" w:customStyle="1" w:styleId="Heading2Char">
    <w:name w:val="Heading 2 Char"/>
    <w:link w:val="Heading2"/>
    <w:uiPriority w:val="99"/>
    <w:locked/>
    <w:rsid w:val="00CB7704"/>
    <w:rPr>
      <w:b/>
      <w:sz w:val="23"/>
      <w:szCs w:val="24"/>
      <w:lang w:eastAsia="en-US"/>
    </w:rPr>
  </w:style>
  <w:style w:type="character" w:customStyle="1" w:styleId="Heading3Char">
    <w:name w:val="Heading 3 Char"/>
    <w:link w:val="Heading3"/>
    <w:uiPriority w:val="99"/>
    <w:locked/>
    <w:rsid w:val="0078150A"/>
    <w:rPr>
      <w:i/>
      <w:sz w:val="23"/>
      <w:szCs w:val="24"/>
      <w:lang w:eastAsia="en-US"/>
    </w:rPr>
  </w:style>
  <w:style w:type="character" w:customStyle="1" w:styleId="Heading4Char">
    <w:name w:val="Heading 4 Char"/>
    <w:link w:val="Heading4"/>
    <w:uiPriority w:val="99"/>
    <w:locked/>
    <w:rsid w:val="00973274"/>
    <w:rPr>
      <w:rFonts w:ascii="Cambria" w:hAnsi="Cambria"/>
      <w:i/>
      <w:iCs/>
      <w:color w:val="DDDDDD"/>
      <w:sz w:val="24"/>
      <w:szCs w:val="24"/>
      <w:lang w:eastAsia="en-US"/>
    </w:rPr>
  </w:style>
  <w:style w:type="character" w:customStyle="1" w:styleId="Heading5Char">
    <w:name w:val="Heading 5 Char"/>
    <w:link w:val="Heading5"/>
    <w:uiPriority w:val="99"/>
    <w:locked/>
    <w:rsid w:val="00973274"/>
    <w:rPr>
      <w:rFonts w:ascii="Cambria" w:hAnsi="Cambria"/>
      <w:color w:val="DDDDDD"/>
      <w:sz w:val="23"/>
      <w:szCs w:val="24"/>
      <w:lang w:eastAsia="en-US"/>
    </w:rPr>
  </w:style>
  <w:style w:type="character" w:customStyle="1" w:styleId="Heading6Char">
    <w:name w:val="Heading 6 Char"/>
    <w:link w:val="Heading6"/>
    <w:uiPriority w:val="99"/>
    <w:locked/>
    <w:rsid w:val="00973274"/>
    <w:rPr>
      <w:rFonts w:ascii="Cambria" w:hAnsi="Cambria"/>
      <w:i/>
      <w:iCs/>
      <w:color w:val="DDDDDD"/>
      <w:sz w:val="23"/>
      <w:szCs w:val="24"/>
      <w:lang w:eastAsia="en-US"/>
    </w:rPr>
  </w:style>
  <w:style w:type="character" w:customStyle="1" w:styleId="Heading7Char">
    <w:name w:val="Heading 7 Char"/>
    <w:link w:val="Heading7"/>
    <w:uiPriority w:val="99"/>
    <w:locked/>
    <w:rsid w:val="00973274"/>
    <w:rPr>
      <w:rFonts w:ascii="Cambria" w:hAnsi="Cambria"/>
      <w:b/>
      <w:bCs/>
      <w:color w:val="969696"/>
      <w:lang w:eastAsia="en-US"/>
    </w:rPr>
  </w:style>
  <w:style w:type="character" w:customStyle="1" w:styleId="Heading8Char">
    <w:name w:val="Heading 8 Char"/>
    <w:link w:val="Heading8"/>
    <w:uiPriority w:val="99"/>
    <w:locked/>
    <w:rsid w:val="00973274"/>
    <w:rPr>
      <w:rFonts w:ascii="Cambria" w:hAnsi="Cambria"/>
      <w:b/>
      <w:bCs/>
      <w:i/>
      <w:iCs/>
      <w:color w:val="969696"/>
      <w:lang w:eastAsia="en-US"/>
    </w:rPr>
  </w:style>
  <w:style w:type="character" w:customStyle="1" w:styleId="Heading9Char">
    <w:name w:val="Heading 9 Char"/>
    <w:link w:val="Heading9"/>
    <w:uiPriority w:val="99"/>
    <w:locked/>
    <w:rsid w:val="00973274"/>
    <w:rPr>
      <w:rFonts w:ascii="Cambria" w:hAnsi="Cambria"/>
      <w:i/>
      <w:iCs/>
      <w:color w:val="969696"/>
      <w:lang w:eastAsia="en-US"/>
    </w:rPr>
  </w:style>
  <w:style w:type="paragraph" w:styleId="Caption">
    <w:name w:val="caption"/>
    <w:basedOn w:val="Normal"/>
    <w:next w:val="Normal"/>
    <w:uiPriority w:val="99"/>
    <w:qFormat/>
    <w:rsid w:val="00973274"/>
    <w:rPr>
      <w:b/>
      <w:bCs/>
      <w:sz w:val="18"/>
      <w:szCs w:val="18"/>
    </w:rPr>
  </w:style>
  <w:style w:type="paragraph" w:styleId="Title">
    <w:name w:val="Title"/>
    <w:basedOn w:val="Normal"/>
    <w:next w:val="Normal"/>
    <w:link w:val="TitleChar"/>
    <w:uiPriority w:val="99"/>
    <w:qFormat/>
    <w:rsid w:val="00973274"/>
    <w:pPr>
      <w:spacing w:before="240"/>
      <w:jc w:val="center"/>
    </w:pPr>
    <w:rPr>
      <w:rFonts w:ascii="Tahoma" w:hAnsi="Tahoma" w:cs="Tahoma"/>
      <w:b/>
      <w:sz w:val="32"/>
      <w:szCs w:val="32"/>
    </w:rPr>
  </w:style>
  <w:style w:type="character" w:customStyle="1" w:styleId="TitleChar">
    <w:name w:val="Title Char"/>
    <w:link w:val="Title"/>
    <w:uiPriority w:val="99"/>
    <w:locked/>
    <w:rsid w:val="00973274"/>
    <w:rPr>
      <w:rFonts w:ascii="Tahoma" w:eastAsia="Times New Roman" w:hAnsi="Tahoma" w:cs="Tahoma"/>
      <w:b/>
      <w:sz w:val="32"/>
      <w:szCs w:val="32"/>
    </w:rPr>
  </w:style>
  <w:style w:type="paragraph" w:styleId="Subtitle">
    <w:name w:val="Subtitle"/>
    <w:basedOn w:val="Normal"/>
    <w:next w:val="Normal"/>
    <w:link w:val="SubtitleChar"/>
    <w:uiPriority w:val="99"/>
    <w:qFormat/>
    <w:rsid w:val="00973274"/>
    <w:pPr>
      <w:spacing w:before="200" w:after="900"/>
      <w:jc w:val="right"/>
    </w:pPr>
    <w:rPr>
      <w:i/>
      <w:iCs/>
      <w:sz w:val="24"/>
    </w:rPr>
  </w:style>
  <w:style w:type="character" w:customStyle="1" w:styleId="SubtitleChar">
    <w:name w:val="Subtitle Char"/>
    <w:link w:val="Subtitle"/>
    <w:uiPriority w:val="99"/>
    <w:locked/>
    <w:rsid w:val="00973274"/>
    <w:rPr>
      <w:rFonts w:ascii="Calibri" w:cs="Times New Roman"/>
      <w:i/>
      <w:iCs/>
      <w:sz w:val="24"/>
      <w:szCs w:val="24"/>
    </w:rPr>
  </w:style>
  <w:style w:type="character" w:styleId="Strong">
    <w:name w:val="Strong"/>
    <w:uiPriority w:val="99"/>
    <w:qFormat/>
    <w:rsid w:val="00973274"/>
    <w:rPr>
      <w:rFonts w:cs="Times New Roman"/>
      <w:b/>
      <w:bCs/>
      <w:spacing w:val="0"/>
    </w:rPr>
  </w:style>
  <w:style w:type="character" w:styleId="Emphasis">
    <w:name w:val="Emphasis"/>
    <w:uiPriority w:val="99"/>
    <w:qFormat/>
    <w:rsid w:val="00973274"/>
    <w:rPr>
      <w:rFonts w:cs="Times New Roman"/>
      <w:b/>
      <w:i/>
      <w:color w:val="5A5A5A"/>
    </w:rPr>
  </w:style>
  <w:style w:type="paragraph" w:customStyle="1" w:styleId="MediumGrid2-Accent11">
    <w:name w:val="Medium Grid 2 - Accent 11"/>
    <w:basedOn w:val="Normal"/>
    <w:link w:val="MediumGrid2-Accent1Char"/>
    <w:uiPriority w:val="99"/>
    <w:qFormat/>
    <w:rsid w:val="00973274"/>
  </w:style>
  <w:style w:type="character" w:customStyle="1" w:styleId="MediumGrid2-Accent1Char">
    <w:name w:val="Medium Grid 2 - Accent 1 Char"/>
    <w:link w:val="MediumGrid2-Accent11"/>
    <w:uiPriority w:val="99"/>
    <w:locked/>
    <w:rsid w:val="00973274"/>
    <w:rPr>
      <w:rFonts w:cs="Times New Roman"/>
    </w:rPr>
  </w:style>
  <w:style w:type="paragraph" w:customStyle="1" w:styleId="LightGrid-Accent31">
    <w:name w:val="Light Grid - Accent 31"/>
    <w:basedOn w:val="Normal"/>
    <w:uiPriority w:val="34"/>
    <w:qFormat/>
    <w:rsid w:val="00973274"/>
    <w:pPr>
      <w:ind w:left="720"/>
      <w:contextualSpacing/>
    </w:pPr>
  </w:style>
  <w:style w:type="paragraph" w:customStyle="1" w:styleId="MediumShading1-Accent31">
    <w:name w:val="Medium Shading 1 - Accent 31"/>
    <w:basedOn w:val="Normal"/>
    <w:next w:val="Normal"/>
    <w:link w:val="MediumShading1-Accent3Char"/>
    <w:uiPriority w:val="99"/>
    <w:qFormat/>
    <w:rsid w:val="00973274"/>
    <w:rPr>
      <w:rFonts w:ascii="Cambria" w:hAnsi="Cambria"/>
      <w:i/>
      <w:iCs/>
      <w:color w:val="5A5A5A"/>
    </w:rPr>
  </w:style>
  <w:style w:type="character" w:customStyle="1" w:styleId="MediumShading1-Accent3Char">
    <w:name w:val="Medium Shading 1 - Accent 3 Char"/>
    <w:link w:val="MediumShading1-Accent31"/>
    <w:uiPriority w:val="99"/>
    <w:locked/>
    <w:rsid w:val="00973274"/>
    <w:rPr>
      <w:rFonts w:ascii="Cambria" w:hAnsi="Cambria" w:cs="Times New Roman"/>
      <w:i/>
      <w:iCs/>
      <w:color w:val="5A5A5A"/>
    </w:rPr>
  </w:style>
  <w:style w:type="paragraph" w:customStyle="1" w:styleId="MediumShading2-Accent31">
    <w:name w:val="Medium Shading 2 - Accent 31"/>
    <w:basedOn w:val="Normal"/>
    <w:next w:val="Normal"/>
    <w:link w:val="MediumShading2-Accent3Char"/>
    <w:uiPriority w:val="99"/>
    <w:qFormat/>
    <w:rsid w:val="00973274"/>
    <w:pPr>
      <w:pBdr>
        <w:top w:val="single" w:sz="12" w:space="10" w:color="F1F1F1"/>
        <w:left w:val="single" w:sz="36" w:space="4" w:color="DDDDDD"/>
        <w:bottom w:val="single" w:sz="24" w:space="10" w:color="969696"/>
        <w:right w:val="single" w:sz="36" w:space="4" w:color="DDDDDD"/>
      </w:pBdr>
      <w:shd w:val="clear" w:color="auto" w:fill="DDDDDD"/>
      <w:spacing w:before="320" w:after="320" w:line="300" w:lineRule="auto"/>
      <w:ind w:left="1440" w:right="1440"/>
    </w:pPr>
    <w:rPr>
      <w:rFonts w:ascii="Cambria" w:hAnsi="Cambria"/>
      <w:i/>
      <w:iCs/>
      <w:color w:val="FFFFFF"/>
      <w:sz w:val="24"/>
    </w:rPr>
  </w:style>
  <w:style w:type="character" w:customStyle="1" w:styleId="MediumShading2-Accent3Char">
    <w:name w:val="Medium Shading 2 - Accent 3 Char"/>
    <w:link w:val="MediumShading2-Accent31"/>
    <w:uiPriority w:val="99"/>
    <w:locked/>
    <w:rsid w:val="00973274"/>
    <w:rPr>
      <w:rFonts w:ascii="Cambria" w:hAnsi="Cambria" w:cs="Times New Roman"/>
      <w:i/>
      <w:iCs/>
      <w:color w:val="FFFFFF"/>
      <w:sz w:val="24"/>
      <w:szCs w:val="24"/>
      <w:shd w:val="clear" w:color="auto" w:fill="DDDDDD"/>
    </w:rPr>
  </w:style>
  <w:style w:type="character" w:customStyle="1" w:styleId="GridTable6Colorful1">
    <w:name w:val="Grid Table 6 Colorful1"/>
    <w:uiPriority w:val="99"/>
    <w:qFormat/>
    <w:rsid w:val="00973274"/>
    <w:rPr>
      <w:i/>
      <w:color w:val="5A5A5A"/>
    </w:rPr>
  </w:style>
  <w:style w:type="character" w:customStyle="1" w:styleId="GridTable7Colorful1">
    <w:name w:val="Grid Table 7 Colorful1"/>
    <w:uiPriority w:val="99"/>
    <w:qFormat/>
    <w:rsid w:val="00973274"/>
    <w:rPr>
      <w:b/>
      <w:i/>
      <w:color w:val="DDDDDD"/>
      <w:sz w:val="22"/>
    </w:rPr>
  </w:style>
  <w:style w:type="character" w:customStyle="1" w:styleId="GridTable1Light-Accent11">
    <w:name w:val="Grid Table 1 Light - Accent 11"/>
    <w:uiPriority w:val="99"/>
    <w:qFormat/>
    <w:rsid w:val="00973274"/>
    <w:rPr>
      <w:color w:val="auto"/>
      <w:u w:val="single" w:color="969696"/>
    </w:rPr>
  </w:style>
  <w:style w:type="character" w:customStyle="1" w:styleId="GridTable2-Accent11">
    <w:name w:val="Grid Table 2 - Accent 11"/>
    <w:uiPriority w:val="99"/>
    <w:qFormat/>
    <w:rsid w:val="00973274"/>
    <w:rPr>
      <w:rFonts w:cs="Times New Roman"/>
      <w:b/>
      <w:bCs/>
      <w:color w:val="707070"/>
      <w:u w:val="single" w:color="969696"/>
    </w:rPr>
  </w:style>
  <w:style w:type="character" w:customStyle="1" w:styleId="GridTable3-Accent11">
    <w:name w:val="Grid Table 3 - Accent 11"/>
    <w:uiPriority w:val="99"/>
    <w:qFormat/>
    <w:rsid w:val="00973274"/>
    <w:rPr>
      <w:rFonts w:ascii="Cambria" w:hAnsi="Cambria" w:cs="Times New Roman"/>
      <w:b/>
      <w:bCs/>
      <w:i/>
      <w:iCs/>
      <w:color w:val="auto"/>
    </w:rPr>
  </w:style>
  <w:style w:type="paragraph" w:customStyle="1" w:styleId="GridTable5Dark-Accent11">
    <w:name w:val="Grid Table 5 Dark - Accent 11"/>
    <w:basedOn w:val="Heading1"/>
    <w:next w:val="Normal"/>
    <w:uiPriority w:val="39"/>
    <w:qFormat/>
    <w:rsid w:val="00973274"/>
    <w:pPr>
      <w:outlineLvl w:val="9"/>
    </w:pPr>
  </w:style>
  <w:style w:type="paragraph" w:customStyle="1" w:styleId="Smalltext">
    <w:name w:val="Small text"/>
    <w:basedOn w:val="Normal"/>
    <w:link w:val="SmalltextChar"/>
    <w:uiPriority w:val="99"/>
    <w:rsid w:val="00973274"/>
    <w:pPr>
      <w:jc w:val="center"/>
    </w:pPr>
    <w:rPr>
      <w:rFonts w:ascii="Tahoma" w:hAnsi="Tahoma" w:cs="Tahoma"/>
      <w:sz w:val="16"/>
      <w:szCs w:val="20"/>
    </w:rPr>
  </w:style>
  <w:style w:type="character" w:customStyle="1" w:styleId="SmalltextChar">
    <w:name w:val="Small text Char"/>
    <w:link w:val="Smalltext"/>
    <w:uiPriority w:val="99"/>
    <w:locked/>
    <w:rsid w:val="00973274"/>
    <w:rPr>
      <w:rFonts w:ascii="Tahoma" w:eastAsia="Times New Roman" w:hAnsi="Tahoma" w:cs="Tahoma"/>
      <w:sz w:val="20"/>
      <w:szCs w:val="20"/>
    </w:rPr>
  </w:style>
  <w:style w:type="paragraph" w:styleId="Header">
    <w:name w:val="header"/>
    <w:basedOn w:val="Normal"/>
    <w:link w:val="HeaderChar"/>
    <w:uiPriority w:val="99"/>
    <w:rsid w:val="00973274"/>
    <w:pPr>
      <w:tabs>
        <w:tab w:val="center" w:pos="4513"/>
        <w:tab w:val="right" w:pos="9026"/>
      </w:tabs>
    </w:pPr>
  </w:style>
  <w:style w:type="character" w:customStyle="1" w:styleId="HeaderChar">
    <w:name w:val="Header Char"/>
    <w:link w:val="Header"/>
    <w:uiPriority w:val="99"/>
    <w:locked/>
    <w:rsid w:val="00973274"/>
    <w:rPr>
      <w:rFonts w:cs="Times New Roman"/>
    </w:rPr>
  </w:style>
  <w:style w:type="paragraph" w:styleId="Footer">
    <w:name w:val="footer"/>
    <w:basedOn w:val="Normal"/>
    <w:link w:val="FooterChar"/>
    <w:uiPriority w:val="99"/>
    <w:rsid w:val="00973274"/>
    <w:pPr>
      <w:tabs>
        <w:tab w:val="center" w:pos="4513"/>
        <w:tab w:val="right" w:pos="9026"/>
      </w:tabs>
    </w:pPr>
  </w:style>
  <w:style w:type="character" w:customStyle="1" w:styleId="FooterChar">
    <w:name w:val="Footer Char"/>
    <w:link w:val="Footer"/>
    <w:uiPriority w:val="99"/>
    <w:locked/>
    <w:rsid w:val="00973274"/>
    <w:rPr>
      <w:rFonts w:cs="Times New Roman"/>
    </w:rPr>
  </w:style>
  <w:style w:type="paragraph" w:customStyle="1" w:styleId="Topofpageunderlined">
    <w:name w:val="Top of page underlined"/>
    <w:link w:val="TopofpageunderlinedChar"/>
    <w:uiPriority w:val="99"/>
    <w:rsid w:val="00E4388B"/>
    <w:pPr>
      <w:spacing w:after="240"/>
      <w:ind w:firstLine="360"/>
      <w:jc w:val="center"/>
    </w:pPr>
    <w:rPr>
      <w:b/>
      <w:kern w:val="28"/>
      <w:sz w:val="32"/>
      <w:szCs w:val="24"/>
      <w:lang w:val="en-GB"/>
    </w:rPr>
  </w:style>
  <w:style w:type="character" w:customStyle="1" w:styleId="TopofpageunderlinedChar">
    <w:name w:val="Top of page underlined Char"/>
    <w:link w:val="Topofpageunderlined"/>
    <w:uiPriority w:val="99"/>
    <w:locked/>
    <w:rsid w:val="00E4388B"/>
    <w:rPr>
      <w:rFonts w:ascii="Calibri" w:hAnsi="Calibri"/>
      <w:b/>
      <w:kern w:val="28"/>
      <w:sz w:val="32"/>
      <w:szCs w:val="24"/>
      <w:lang w:val="en-GB" w:eastAsia="en-US" w:bidi="ar-SA"/>
    </w:rPr>
  </w:style>
  <w:style w:type="paragraph" w:customStyle="1" w:styleId="Normal-nospacing">
    <w:name w:val="Normal - no spacing"/>
    <w:basedOn w:val="Normal"/>
    <w:link w:val="Normal-nospacingChar"/>
    <w:uiPriority w:val="99"/>
    <w:rsid w:val="00610A21"/>
    <w:pPr>
      <w:spacing w:after="0"/>
    </w:pPr>
    <w:rPr>
      <w:szCs w:val="23"/>
    </w:rPr>
  </w:style>
  <w:style w:type="character" w:customStyle="1" w:styleId="Normal-nospacingChar">
    <w:name w:val="Normal - no spacing Char"/>
    <w:link w:val="Normal-nospacing"/>
    <w:uiPriority w:val="99"/>
    <w:locked/>
    <w:rsid w:val="00610A21"/>
    <w:rPr>
      <w:rFonts w:eastAsia="Times New Roman" w:cs="Times New Roman"/>
      <w:sz w:val="23"/>
      <w:szCs w:val="23"/>
      <w:lang w:val="en-GB" w:bidi="ar-SA"/>
    </w:rPr>
  </w:style>
  <w:style w:type="paragraph" w:customStyle="1" w:styleId="Footnote">
    <w:name w:val="Footnote"/>
    <w:basedOn w:val="Normal"/>
    <w:link w:val="FootnoteChar"/>
    <w:uiPriority w:val="99"/>
    <w:rsid w:val="005077F6"/>
    <w:pPr>
      <w:tabs>
        <w:tab w:val="center" w:pos="4513"/>
        <w:tab w:val="right" w:pos="9026"/>
      </w:tabs>
      <w:spacing w:after="0" w:line="240" w:lineRule="auto"/>
      <w:jc w:val="center"/>
    </w:pPr>
    <w:rPr>
      <w:rFonts w:ascii="Tahoma" w:hAnsi="Tahoma" w:cs="Tahoma"/>
      <w:sz w:val="18"/>
      <w:szCs w:val="18"/>
    </w:rPr>
  </w:style>
  <w:style w:type="character" w:customStyle="1" w:styleId="FootnoteChar">
    <w:name w:val="Footnote Char"/>
    <w:link w:val="Footnote"/>
    <w:uiPriority w:val="99"/>
    <w:locked/>
    <w:rsid w:val="005077F6"/>
    <w:rPr>
      <w:rFonts w:ascii="Tahoma" w:eastAsia="Times New Roman" w:hAnsi="Tahoma" w:cs="Tahoma"/>
      <w:sz w:val="18"/>
      <w:szCs w:val="18"/>
      <w:lang w:val="en-GB" w:bidi="ar-SA"/>
    </w:rPr>
  </w:style>
  <w:style w:type="paragraph" w:customStyle="1" w:styleId="Listofabbreviations">
    <w:name w:val="List of abbreviations"/>
    <w:basedOn w:val="Normal-nospacing"/>
    <w:link w:val="ListofabbreviationsChar"/>
    <w:uiPriority w:val="99"/>
    <w:rsid w:val="009A28E3"/>
    <w:pPr>
      <w:tabs>
        <w:tab w:val="left" w:pos="3402"/>
      </w:tabs>
      <w:ind w:left="3402" w:hanging="2835"/>
    </w:pPr>
    <w:rPr>
      <w:sz w:val="22"/>
      <w:szCs w:val="22"/>
    </w:rPr>
  </w:style>
  <w:style w:type="character" w:customStyle="1" w:styleId="ListofabbreviationsChar">
    <w:name w:val="List of abbreviations Char"/>
    <w:basedOn w:val="Normal-nospacingChar"/>
    <w:link w:val="Listofabbreviations"/>
    <w:uiPriority w:val="99"/>
    <w:locked/>
    <w:rsid w:val="009A28E3"/>
    <w:rPr>
      <w:rFonts w:eastAsia="Times New Roman" w:cs="Times New Roman"/>
      <w:sz w:val="23"/>
      <w:szCs w:val="23"/>
      <w:lang w:val="en-GB" w:bidi="ar-SA"/>
    </w:rPr>
  </w:style>
  <w:style w:type="paragraph" w:customStyle="1" w:styleId="Bulletlist-old">
    <w:name w:val="Bullet list - old"/>
    <w:basedOn w:val="Normal-nospacing"/>
    <w:link w:val="Bulletlist-oldChar"/>
    <w:uiPriority w:val="99"/>
    <w:rsid w:val="008A74A6"/>
    <w:pPr>
      <w:spacing w:after="240"/>
      <w:ind w:left="426" w:hanging="221"/>
      <w:contextualSpacing/>
    </w:pPr>
    <w:rPr>
      <w:color w:val="000000"/>
      <w:kern w:val="24"/>
      <w:lang w:eastAsia="en-GB"/>
    </w:rPr>
  </w:style>
  <w:style w:type="character" w:customStyle="1" w:styleId="Bulletlist-oldChar">
    <w:name w:val="Bullet list - old Char"/>
    <w:link w:val="Bulletlist-old"/>
    <w:uiPriority w:val="99"/>
    <w:locked/>
    <w:rsid w:val="008A74A6"/>
    <w:rPr>
      <w:rFonts w:eastAsia="Times New Roman" w:cs="Times New Roman"/>
      <w:color w:val="000000"/>
      <w:kern w:val="24"/>
      <w:sz w:val="23"/>
      <w:szCs w:val="23"/>
      <w:lang w:val="en-GB" w:bidi="ar-SA"/>
    </w:rPr>
  </w:style>
  <w:style w:type="paragraph" w:customStyle="1" w:styleId="Numberedlist1">
    <w:name w:val="Numbered list 1"/>
    <w:basedOn w:val="Normal-nospacing"/>
    <w:link w:val="Numberedlist1Char"/>
    <w:uiPriority w:val="99"/>
    <w:rsid w:val="005712B9"/>
    <w:pPr>
      <w:ind w:left="720" w:hanging="360"/>
    </w:pPr>
  </w:style>
  <w:style w:type="character" w:customStyle="1" w:styleId="Numberedlist1Char">
    <w:name w:val="Numbered list 1 Char"/>
    <w:basedOn w:val="Normal-nospacingChar"/>
    <w:link w:val="Numberedlist1"/>
    <w:uiPriority w:val="99"/>
    <w:locked/>
    <w:rsid w:val="005712B9"/>
    <w:rPr>
      <w:rFonts w:eastAsia="Times New Roman" w:cs="Times New Roman"/>
      <w:sz w:val="23"/>
      <w:szCs w:val="23"/>
      <w:lang w:val="en-GB" w:bidi="ar-SA"/>
    </w:rPr>
  </w:style>
  <w:style w:type="paragraph" w:styleId="ListBullet">
    <w:name w:val="List Bullet"/>
    <w:basedOn w:val="Normal"/>
    <w:autoRedefine/>
    <w:uiPriority w:val="99"/>
    <w:rsid w:val="00930EEC"/>
    <w:pPr>
      <w:tabs>
        <w:tab w:val="num" w:pos="851"/>
      </w:tabs>
      <w:spacing w:before="160" w:after="0" w:line="240" w:lineRule="auto"/>
      <w:ind w:left="851" w:hanging="284"/>
    </w:pPr>
    <w:rPr>
      <w:rFonts w:ascii="Arial" w:hAnsi="Arial"/>
      <w:sz w:val="22"/>
      <w:szCs w:val="20"/>
    </w:rPr>
  </w:style>
  <w:style w:type="paragraph" w:customStyle="1" w:styleId="NewBullet1">
    <w:name w:val="NewBullet1"/>
    <w:basedOn w:val="Normal"/>
    <w:uiPriority w:val="99"/>
    <w:rsid w:val="00930EEC"/>
    <w:pPr>
      <w:numPr>
        <w:numId w:val="1"/>
      </w:numPr>
      <w:spacing w:after="0" w:line="240" w:lineRule="auto"/>
    </w:pPr>
    <w:rPr>
      <w:rFonts w:ascii="Arial" w:hAnsi="Arial"/>
      <w:sz w:val="22"/>
      <w:szCs w:val="20"/>
    </w:rPr>
  </w:style>
  <w:style w:type="paragraph" w:customStyle="1" w:styleId="Style1">
    <w:name w:val="Style1"/>
    <w:basedOn w:val="NewBullet1"/>
    <w:uiPriority w:val="99"/>
    <w:rsid w:val="00930EEC"/>
  </w:style>
  <w:style w:type="table" w:styleId="TableGrid">
    <w:name w:val="Table Grid"/>
    <w:basedOn w:val="TableNormal"/>
    <w:uiPriority w:val="99"/>
    <w:rsid w:val="00930EE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0EEC"/>
    <w:rPr>
      <w:rFonts w:cs="Times New Roman"/>
      <w:color w:val="0000FF"/>
      <w:u w:val="single"/>
    </w:rPr>
  </w:style>
  <w:style w:type="character" w:styleId="PageNumber">
    <w:name w:val="page number"/>
    <w:uiPriority w:val="99"/>
    <w:rsid w:val="00930EEC"/>
    <w:rPr>
      <w:rFonts w:cs="Times New Roman"/>
    </w:rPr>
  </w:style>
  <w:style w:type="character" w:customStyle="1" w:styleId="a">
    <w:name w:val="a"/>
    <w:uiPriority w:val="99"/>
    <w:rsid w:val="00930EEC"/>
    <w:rPr>
      <w:rFonts w:cs="Times New Roman"/>
    </w:rPr>
  </w:style>
  <w:style w:type="paragraph" w:styleId="BodyText3">
    <w:name w:val="Body Text 3"/>
    <w:basedOn w:val="Normal"/>
    <w:link w:val="BodyText3Char"/>
    <w:uiPriority w:val="99"/>
    <w:rsid w:val="00930EEC"/>
    <w:pPr>
      <w:spacing w:after="0" w:line="240" w:lineRule="auto"/>
    </w:pPr>
    <w:rPr>
      <w:rFonts w:ascii="Times" w:hAnsi="Times"/>
      <w:i/>
      <w:color w:val="0000FF"/>
      <w:sz w:val="24"/>
      <w:szCs w:val="20"/>
      <w:lang w:val="en-US"/>
    </w:rPr>
  </w:style>
  <w:style w:type="character" w:customStyle="1" w:styleId="BodyText3Char">
    <w:name w:val="Body Text 3 Char"/>
    <w:link w:val="BodyText3"/>
    <w:uiPriority w:val="99"/>
    <w:locked/>
    <w:rsid w:val="00930EEC"/>
    <w:rPr>
      <w:rFonts w:ascii="Times" w:eastAsia="Times New Roman" w:hAnsi="Times" w:cs="Times New Roman"/>
      <w:i/>
      <w:color w:val="0000FF"/>
      <w:sz w:val="20"/>
      <w:szCs w:val="20"/>
      <w:lang w:bidi="ar-SA"/>
    </w:rPr>
  </w:style>
  <w:style w:type="character" w:styleId="FollowedHyperlink">
    <w:name w:val="FollowedHyperlink"/>
    <w:uiPriority w:val="99"/>
    <w:rsid w:val="00930EEC"/>
    <w:rPr>
      <w:rFonts w:cs="Times New Roman"/>
      <w:color w:val="800080"/>
      <w:u w:val="single"/>
    </w:rPr>
  </w:style>
  <w:style w:type="paragraph" w:customStyle="1" w:styleId="Boxtext">
    <w:name w:val="Box text"/>
    <w:basedOn w:val="Normal"/>
    <w:link w:val="BoxtextChar"/>
    <w:uiPriority w:val="99"/>
    <w:rsid w:val="00930EEC"/>
    <w:pPr>
      <w:spacing w:before="60" w:after="60" w:line="240" w:lineRule="auto"/>
    </w:pPr>
    <w:rPr>
      <w:sz w:val="22"/>
      <w:szCs w:val="20"/>
    </w:rPr>
  </w:style>
  <w:style w:type="character" w:customStyle="1" w:styleId="BoxtextChar">
    <w:name w:val="Box text Char"/>
    <w:link w:val="Boxtext"/>
    <w:uiPriority w:val="99"/>
    <w:locked/>
    <w:rsid w:val="00930EEC"/>
    <w:rPr>
      <w:rFonts w:eastAsia="Times New Roman" w:cs="Times New Roman"/>
      <w:sz w:val="20"/>
      <w:szCs w:val="20"/>
      <w:lang w:val="en-GB" w:bidi="ar-SA"/>
    </w:rPr>
  </w:style>
  <w:style w:type="paragraph" w:customStyle="1" w:styleId="Bulletlist">
    <w:name w:val="Bullet list"/>
    <w:basedOn w:val="Boxtext"/>
    <w:link w:val="BulletlistChar"/>
    <w:uiPriority w:val="99"/>
    <w:rsid w:val="00930EEC"/>
    <w:pPr>
      <w:ind w:left="426" w:hanging="284"/>
      <w:contextualSpacing/>
    </w:pPr>
    <w:rPr>
      <w:lang w:eastAsia="en-GB"/>
    </w:rPr>
  </w:style>
  <w:style w:type="character" w:customStyle="1" w:styleId="BulletlistChar">
    <w:name w:val="Bullet list Char"/>
    <w:link w:val="Bulletlist"/>
    <w:uiPriority w:val="99"/>
    <w:locked/>
    <w:rsid w:val="00930EEC"/>
    <w:rPr>
      <w:rFonts w:eastAsia="Times New Roman" w:cs="Times New Roman"/>
      <w:sz w:val="22"/>
      <w:szCs w:val="20"/>
      <w:lang w:val="en-GB" w:bidi="ar-SA"/>
    </w:rPr>
  </w:style>
  <w:style w:type="paragraph" w:styleId="EndnoteText">
    <w:name w:val="endnote text"/>
    <w:basedOn w:val="Normal"/>
    <w:link w:val="EndnoteTextChar"/>
    <w:rsid w:val="00930EEC"/>
    <w:pPr>
      <w:spacing w:after="0" w:line="240" w:lineRule="auto"/>
    </w:pPr>
    <w:rPr>
      <w:rFonts w:ascii="Arial" w:hAnsi="Arial"/>
      <w:sz w:val="20"/>
      <w:szCs w:val="20"/>
    </w:rPr>
  </w:style>
  <w:style w:type="character" w:customStyle="1" w:styleId="EndnoteTextChar">
    <w:name w:val="Endnote Text Char"/>
    <w:link w:val="EndnoteText"/>
    <w:locked/>
    <w:rsid w:val="00930EEC"/>
    <w:rPr>
      <w:rFonts w:ascii="Arial" w:hAnsi="Arial" w:cs="Times New Roman"/>
      <w:sz w:val="20"/>
      <w:szCs w:val="20"/>
      <w:lang w:val="en-GB" w:bidi="ar-SA"/>
    </w:rPr>
  </w:style>
  <w:style w:type="character" w:styleId="EndnoteReference">
    <w:name w:val="endnote reference"/>
    <w:uiPriority w:val="99"/>
    <w:rsid w:val="00930EEC"/>
    <w:rPr>
      <w:rFonts w:cs="Times New Roman"/>
      <w:vertAlign w:val="superscript"/>
    </w:rPr>
  </w:style>
  <w:style w:type="paragraph" w:customStyle="1" w:styleId="References">
    <w:name w:val="References"/>
    <w:basedOn w:val="Normal"/>
    <w:link w:val="ReferencesChar"/>
    <w:uiPriority w:val="99"/>
    <w:rsid w:val="00930EEC"/>
    <w:pPr>
      <w:spacing w:after="200" w:line="276" w:lineRule="auto"/>
      <w:ind w:left="426" w:hanging="426"/>
    </w:pPr>
    <w:rPr>
      <w:sz w:val="22"/>
      <w:szCs w:val="22"/>
    </w:rPr>
  </w:style>
  <w:style w:type="character" w:customStyle="1" w:styleId="ReferencesChar">
    <w:name w:val="References Char"/>
    <w:link w:val="References"/>
    <w:uiPriority w:val="99"/>
    <w:locked/>
    <w:rsid w:val="00930EEC"/>
    <w:rPr>
      <w:rFonts w:eastAsia="Times New Roman" w:cs="Times New Roman"/>
      <w:lang w:val="en-GB" w:bidi="ar-SA"/>
    </w:rPr>
  </w:style>
  <w:style w:type="paragraph" w:customStyle="1" w:styleId="Bulletlistlevel2">
    <w:name w:val="Bullet list level 2"/>
    <w:basedOn w:val="Bulletlist"/>
    <w:link w:val="Bulletlistlevel2Char"/>
    <w:uiPriority w:val="99"/>
    <w:rsid w:val="00930EEC"/>
    <w:pPr>
      <w:numPr>
        <w:ilvl w:val="1"/>
        <w:numId w:val="2"/>
      </w:numPr>
      <w:ind w:left="851"/>
    </w:pPr>
    <w:rPr>
      <w:szCs w:val="28"/>
    </w:rPr>
  </w:style>
  <w:style w:type="character" w:customStyle="1" w:styleId="Bulletlistlevel2Char">
    <w:name w:val="Bullet list level 2 Char"/>
    <w:link w:val="Bulletlistlevel2"/>
    <w:uiPriority w:val="99"/>
    <w:locked/>
    <w:rsid w:val="00930EEC"/>
    <w:rPr>
      <w:sz w:val="22"/>
      <w:szCs w:val="28"/>
    </w:rPr>
  </w:style>
  <w:style w:type="paragraph" w:styleId="CommentText">
    <w:name w:val="annotation text"/>
    <w:basedOn w:val="Normal"/>
    <w:link w:val="CommentTextChar"/>
    <w:uiPriority w:val="99"/>
    <w:semiHidden/>
    <w:rsid w:val="00946D71"/>
    <w:pPr>
      <w:spacing w:line="240" w:lineRule="auto"/>
    </w:pPr>
    <w:rPr>
      <w:sz w:val="20"/>
      <w:szCs w:val="20"/>
    </w:rPr>
  </w:style>
  <w:style w:type="character" w:customStyle="1" w:styleId="CommentTextChar">
    <w:name w:val="Comment Text Char"/>
    <w:link w:val="CommentText"/>
    <w:uiPriority w:val="99"/>
    <w:semiHidden/>
    <w:locked/>
    <w:rsid w:val="00946D71"/>
    <w:rPr>
      <w:rFonts w:eastAsia="Times New Roman" w:cs="Times New Roman"/>
      <w:sz w:val="20"/>
      <w:szCs w:val="20"/>
      <w:lang w:val="en-GB"/>
    </w:rPr>
  </w:style>
  <w:style w:type="character" w:styleId="CommentReference">
    <w:name w:val="annotation reference"/>
    <w:uiPriority w:val="99"/>
    <w:semiHidden/>
    <w:rsid w:val="00946D71"/>
    <w:rPr>
      <w:rFonts w:cs="Times New Roman"/>
      <w:sz w:val="16"/>
      <w:szCs w:val="16"/>
    </w:rPr>
  </w:style>
  <w:style w:type="paragraph" w:styleId="BalloonText">
    <w:name w:val="Balloon Text"/>
    <w:basedOn w:val="Normal"/>
    <w:link w:val="BalloonTextChar"/>
    <w:uiPriority w:val="99"/>
    <w:semiHidden/>
    <w:rsid w:val="00946D7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46D71"/>
    <w:rPr>
      <w:rFonts w:ascii="Tahoma" w:eastAsia="Times New Roman" w:hAnsi="Tahoma" w:cs="Tahoma"/>
      <w:sz w:val="16"/>
      <w:szCs w:val="16"/>
      <w:lang w:val="en-GB"/>
    </w:rPr>
  </w:style>
  <w:style w:type="paragraph" w:styleId="CommentSubject">
    <w:name w:val="annotation subject"/>
    <w:basedOn w:val="CommentText"/>
    <w:next w:val="CommentText"/>
    <w:link w:val="CommentSubjectChar"/>
    <w:uiPriority w:val="99"/>
    <w:semiHidden/>
    <w:rsid w:val="00421151"/>
    <w:pPr>
      <w:spacing w:line="264" w:lineRule="auto"/>
    </w:pPr>
    <w:rPr>
      <w:b/>
      <w:bCs/>
    </w:rPr>
  </w:style>
  <w:style w:type="character" w:customStyle="1" w:styleId="CommentSubjectChar">
    <w:name w:val="Comment Subject Char"/>
    <w:link w:val="CommentSubject"/>
    <w:uiPriority w:val="99"/>
    <w:semiHidden/>
    <w:rsid w:val="00982844"/>
    <w:rPr>
      <w:rFonts w:eastAsia="Times New Roman" w:cs="Times New Roman"/>
      <w:b/>
      <w:bCs/>
      <w:sz w:val="20"/>
      <w:szCs w:val="20"/>
      <w:lang w:val="en-GB"/>
    </w:rPr>
  </w:style>
  <w:style w:type="paragraph" w:customStyle="1" w:styleId="LightList-Accent31">
    <w:name w:val="Light List - Accent 31"/>
    <w:hidden/>
    <w:uiPriority w:val="99"/>
    <w:semiHidden/>
    <w:rsid w:val="00B34B69"/>
    <w:rPr>
      <w:sz w:val="23"/>
      <w:szCs w:val="24"/>
      <w:lang w:val="en-GB"/>
    </w:rPr>
  </w:style>
  <w:style w:type="paragraph" w:styleId="TOC1">
    <w:name w:val="toc 1"/>
    <w:basedOn w:val="Normal"/>
    <w:next w:val="Normal"/>
    <w:autoRedefine/>
    <w:uiPriority w:val="39"/>
    <w:locked/>
    <w:rsid w:val="00ED2F59"/>
    <w:pPr>
      <w:tabs>
        <w:tab w:val="left" w:pos="460"/>
        <w:tab w:val="right" w:leader="dot" w:pos="9016"/>
      </w:tabs>
      <w:spacing w:after="0"/>
    </w:pPr>
  </w:style>
  <w:style w:type="paragraph" w:styleId="TOC2">
    <w:name w:val="toc 2"/>
    <w:basedOn w:val="Normal"/>
    <w:next w:val="Normal"/>
    <w:autoRedefine/>
    <w:uiPriority w:val="39"/>
    <w:locked/>
    <w:rsid w:val="00902B7E"/>
    <w:pPr>
      <w:spacing w:after="0"/>
      <w:ind w:left="232"/>
    </w:pPr>
  </w:style>
  <w:style w:type="paragraph" w:styleId="TOC3">
    <w:name w:val="toc 3"/>
    <w:basedOn w:val="Normal"/>
    <w:next w:val="Normal"/>
    <w:autoRedefine/>
    <w:uiPriority w:val="39"/>
    <w:locked/>
    <w:rsid w:val="00B2656A"/>
    <w:pPr>
      <w:tabs>
        <w:tab w:val="left" w:pos="1540"/>
        <w:tab w:val="right" w:leader="dot" w:pos="9016"/>
      </w:tabs>
      <w:spacing w:after="0"/>
      <w:ind w:left="459"/>
    </w:pPr>
    <w:rPr>
      <w:rFonts w:ascii="Franklin Gothic Book" w:hAnsi="Franklin Gothic Book"/>
      <w:noProof/>
    </w:rPr>
  </w:style>
  <w:style w:type="paragraph" w:customStyle="1" w:styleId="Bulletlist1">
    <w:name w:val="Bullet list 1"/>
    <w:basedOn w:val="Bulletlist-old"/>
    <w:link w:val="Bulletlist1Char"/>
    <w:qFormat/>
    <w:rsid w:val="00FB61F9"/>
    <w:pPr>
      <w:numPr>
        <w:numId w:val="4"/>
      </w:numPr>
      <w:tabs>
        <w:tab w:val="left" w:pos="851"/>
      </w:tabs>
      <w:ind w:left="851"/>
    </w:pPr>
  </w:style>
  <w:style w:type="character" w:customStyle="1" w:styleId="Bulletlist1Char">
    <w:name w:val="Bullet list 1 Char"/>
    <w:link w:val="Bulletlist1"/>
    <w:rsid w:val="00FB61F9"/>
    <w:rPr>
      <w:color w:val="000000"/>
      <w:kern w:val="24"/>
      <w:sz w:val="23"/>
      <w:szCs w:val="23"/>
    </w:rPr>
  </w:style>
  <w:style w:type="paragraph" w:customStyle="1" w:styleId="Bulletlist2">
    <w:name w:val="Bullet list 2"/>
    <w:basedOn w:val="Bulletlist1"/>
    <w:link w:val="Bulletlist2Char"/>
    <w:qFormat/>
    <w:rsid w:val="00FB61F9"/>
    <w:pPr>
      <w:numPr>
        <w:numId w:val="0"/>
      </w:numPr>
      <w:ind w:left="1497" w:hanging="360"/>
    </w:pPr>
  </w:style>
  <w:style w:type="character" w:customStyle="1" w:styleId="Bulletlist2Char">
    <w:name w:val="Bullet list 2 Char"/>
    <w:basedOn w:val="Bulletlist1Char"/>
    <w:link w:val="Bulletlist2"/>
    <w:rsid w:val="00FB61F9"/>
    <w:rPr>
      <w:color w:val="000000"/>
      <w:kern w:val="24"/>
      <w:sz w:val="23"/>
      <w:szCs w:val="23"/>
    </w:rPr>
  </w:style>
  <w:style w:type="paragraph" w:customStyle="1" w:styleId="Default">
    <w:name w:val="Default"/>
    <w:rsid w:val="00C70C5B"/>
    <w:pPr>
      <w:autoSpaceDE w:val="0"/>
      <w:autoSpaceDN w:val="0"/>
      <w:adjustRightInd w:val="0"/>
    </w:pPr>
    <w:rPr>
      <w:rFonts w:ascii="Times New Roman" w:hAnsi="Times New Roman"/>
      <w:color w:val="000000"/>
      <w:sz w:val="24"/>
      <w:szCs w:val="24"/>
      <w:lang w:val="en-GB" w:eastAsia="en-GB"/>
    </w:rPr>
  </w:style>
  <w:style w:type="paragraph" w:styleId="TOC4">
    <w:name w:val="toc 4"/>
    <w:basedOn w:val="Normal"/>
    <w:next w:val="Normal"/>
    <w:autoRedefine/>
    <w:uiPriority w:val="39"/>
    <w:unhideWhenUsed/>
    <w:locked/>
    <w:rsid w:val="00B86202"/>
    <w:pPr>
      <w:spacing w:after="100" w:line="276" w:lineRule="auto"/>
      <w:ind w:left="660"/>
    </w:pPr>
    <w:rPr>
      <w:sz w:val="22"/>
      <w:szCs w:val="22"/>
      <w:lang w:eastAsia="en-GB"/>
    </w:rPr>
  </w:style>
  <w:style w:type="paragraph" w:styleId="TOC5">
    <w:name w:val="toc 5"/>
    <w:basedOn w:val="Normal"/>
    <w:next w:val="Normal"/>
    <w:autoRedefine/>
    <w:uiPriority w:val="39"/>
    <w:unhideWhenUsed/>
    <w:locked/>
    <w:rsid w:val="00B86202"/>
    <w:pPr>
      <w:spacing w:after="100" w:line="276" w:lineRule="auto"/>
      <w:ind w:left="880"/>
    </w:pPr>
    <w:rPr>
      <w:sz w:val="22"/>
      <w:szCs w:val="22"/>
      <w:lang w:eastAsia="en-GB"/>
    </w:rPr>
  </w:style>
  <w:style w:type="paragraph" w:styleId="TOC6">
    <w:name w:val="toc 6"/>
    <w:basedOn w:val="Normal"/>
    <w:next w:val="Normal"/>
    <w:autoRedefine/>
    <w:uiPriority w:val="39"/>
    <w:unhideWhenUsed/>
    <w:locked/>
    <w:rsid w:val="00B86202"/>
    <w:pPr>
      <w:spacing w:after="100" w:line="276" w:lineRule="auto"/>
      <w:ind w:left="1100"/>
    </w:pPr>
    <w:rPr>
      <w:sz w:val="22"/>
      <w:szCs w:val="22"/>
      <w:lang w:eastAsia="en-GB"/>
    </w:rPr>
  </w:style>
  <w:style w:type="paragraph" w:styleId="TOC7">
    <w:name w:val="toc 7"/>
    <w:basedOn w:val="Normal"/>
    <w:next w:val="Normal"/>
    <w:autoRedefine/>
    <w:uiPriority w:val="39"/>
    <w:unhideWhenUsed/>
    <w:locked/>
    <w:rsid w:val="00B86202"/>
    <w:pPr>
      <w:spacing w:after="100" w:line="276" w:lineRule="auto"/>
      <w:ind w:left="1320"/>
    </w:pPr>
    <w:rPr>
      <w:sz w:val="22"/>
      <w:szCs w:val="22"/>
      <w:lang w:eastAsia="en-GB"/>
    </w:rPr>
  </w:style>
  <w:style w:type="paragraph" w:styleId="TOC8">
    <w:name w:val="toc 8"/>
    <w:basedOn w:val="Normal"/>
    <w:next w:val="Normal"/>
    <w:autoRedefine/>
    <w:uiPriority w:val="39"/>
    <w:unhideWhenUsed/>
    <w:locked/>
    <w:rsid w:val="00B86202"/>
    <w:pPr>
      <w:spacing w:after="100" w:line="276" w:lineRule="auto"/>
      <w:ind w:left="1540"/>
    </w:pPr>
    <w:rPr>
      <w:sz w:val="22"/>
      <w:szCs w:val="22"/>
      <w:lang w:eastAsia="en-GB"/>
    </w:rPr>
  </w:style>
  <w:style w:type="paragraph" w:styleId="TOC9">
    <w:name w:val="toc 9"/>
    <w:basedOn w:val="Normal"/>
    <w:next w:val="Normal"/>
    <w:autoRedefine/>
    <w:uiPriority w:val="39"/>
    <w:unhideWhenUsed/>
    <w:locked/>
    <w:rsid w:val="00B86202"/>
    <w:pPr>
      <w:spacing w:after="100" w:line="276" w:lineRule="auto"/>
      <w:ind w:left="1760"/>
    </w:pPr>
    <w:rPr>
      <w:sz w:val="22"/>
      <w:szCs w:val="22"/>
      <w:lang w:eastAsia="en-GB"/>
    </w:rPr>
  </w:style>
  <w:style w:type="table" w:customStyle="1" w:styleId="GridTable41">
    <w:name w:val="Grid Table 41"/>
    <w:basedOn w:val="TableNormal"/>
    <w:uiPriority w:val="41"/>
    <w:rsid w:val="00D178F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ListTable7Colorful-Accent51">
    <w:name w:val="List Table 7 Colorful - Accent 51"/>
    <w:basedOn w:val="TableNormal"/>
    <w:uiPriority w:val="50"/>
    <w:rsid w:val="00D178F9"/>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2">
    <w:name w:val="Grid Table 6 Colorful2"/>
    <w:basedOn w:val="TableNormal"/>
    <w:uiPriority w:val="43"/>
    <w:rsid w:val="00D178F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GridTable2-Accent12">
    <w:name w:val="Grid Table 2 - Accent 12"/>
    <w:basedOn w:val="TableNormal"/>
    <w:uiPriority w:val="40"/>
    <w:rsid w:val="00D178F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diumList2-Accent21">
    <w:name w:val="Medium List 2 - Accent 21"/>
    <w:hidden/>
    <w:uiPriority w:val="99"/>
    <w:semiHidden/>
    <w:rsid w:val="00BD1825"/>
    <w:rPr>
      <w:sz w:val="23"/>
      <w:szCs w:val="24"/>
      <w:lang w:val="en-GB"/>
    </w:rPr>
  </w:style>
  <w:style w:type="paragraph" w:customStyle="1" w:styleId="ColorfulShading-Accent11">
    <w:name w:val="Colorful Shading - Accent 11"/>
    <w:hidden/>
    <w:uiPriority w:val="99"/>
    <w:semiHidden/>
    <w:rsid w:val="000C1F99"/>
    <w:rPr>
      <w:sz w:val="23"/>
      <w:szCs w:val="24"/>
      <w:lang w:val="en-GB"/>
    </w:rPr>
  </w:style>
  <w:style w:type="paragraph" w:styleId="NormalWeb">
    <w:name w:val="Normal (Web)"/>
    <w:basedOn w:val="Normal"/>
    <w:uiPriority w:val="99"/>
    <w:rsid w:val="006D1C0C"/>
    <w:pPr>
      <w:spacing w:after="0" w:line="240" w:lineRule="auto"/>
    </w:pPr>
    <w:rPr>
      <w:rFonts w:ascii="Arial Unicode MS" w:eastAsia="Arial Unicode MS" w:hAnsi="Arial Unicode MS" w:cs="Arial Unicode MS"/>
      <w:sz w:val="24"/>
    </w:rPr>
  </w:style>
  <w:style w:type="paragraph" w:styleId="DocumentMap">
    <w:name w:val="Document Map"/>
    <w:basedOn w:val="Normal"/>
    <w:link w:val="DocumentMapChar"/>
    <w:uiPriority w:val="99"/>
    <w:semiHidden/>
    <w:unhideWhenUsed/>
    <w:rsid w:val="009B127A"/>
    <w:rPr>
      <w:rFonts w:ascii="Times New Roman" w:hAnsi="Times New Roman"/>
      <w:sz w:val="24"/>
    </w:rPr>
  </w:style>
  <w:style w:type="character" w:customStyle="1" w:styleId="DocumentMapChar">
    <w:name w:val="Document Map Char"/>
    <w:link w:val="DocumentMap"/>
    <w:uiPriority w:val="99"/>
    <w:semiHidden/>
    <w:rsid w:val="009B127A"/>
    <w:rPr>
      <w:rFonts w:ascii="Times New Roman" w:hAnsi="Times New Roman"/>
      <w:sz w:val="24"/>
      <w:szCs w:val="24"/>
      <w:lang w:val="en-GB"/>
    </w:rPr>
  </w:style>
  <w:style w:type="paragraph" w:styleId="ListParagraph">
    <w:name w:val="List Paragraph"/>
    <w:basedOn w:val="Normal"/>
    <w:uiPriority w:val="34"/>
    <w:qFormat/>
    <w:rsid w:val="00A67E01"/>
    <w:pPr>
      <w:ind w:left="720"/>
      <w:contextualSpacing/>
    </w:pPr>
  </w:style>
  <w:style w:type="paragraph" w:styleId="Revision">
    <w:name w:val="Revision"/>
    <w:hidden/>
    <w:uiPriority w:val="71"/>
    <w:semiHidden/>
    <w:rsid w:val="00F53C76"/>
    <w:rPr>
      <w:sz w:val="23"/>
      <w:szCs w:val="24"/>
      <w:lang w:val="en-GB"/>
    </w:rPr>
  </w:style>
  <w:style w:type="character" w:customStyle="1" w:styleId="labelblue">
    <w:name w:val="labelblue"/>
    <w:basedOn w:val="DefaultParagraphFont"/>
    <w:rsid w:val="00F4235D"/>
  </w:style>
  <w:style w:type="table" w:customStyle="1" w:styleId="TableGrid1">
    <w:name w:val="Table Grid1"/>
    <w:basedOn w:val="TableNormal"/>
    <w:next w:val="TableGrid"/>
    <w:uiPriority w:val="99"/>
    <w:rsid w:val="00D3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11554">
      <w:bodyDiv w:val="1"/>
      <w:marLeft w:val="0"/>
      <w:marRight w:val="0"/>
      <w:marTop w:val="0"/>
      <w:marBottom w:val="0"/>
      <w:divBdr>
        <w:top w:val="none" w:sz="0" w:space="0" w:color="auto"/>
        <w:left w:val="none" w:sz="0" w:space="0" w:color="auto"/>
        <w:bottom w:val="none" w:sz="0" w:space="0" w:color="auto"/>
        <w:right w:val="none" w:sz="0" w:space="0" w:color="auto"/>
      </w:divBdr>
    </w:div>
    <w:div w:id="258804634">
      <w:bodyDiv w:val="1"/>
      <w:marLeft w:val="0"/>
      <w:marRight w:val="0"/>
      <w:marTop w:val="0"/>
      <w:marBottom w:val="0"/>
      <w:divBdr>
        <w:top w:val="none" w:sz="0" w:space="0" w:color="auto"/>
        <w:left w:val="none" w:sz="0" w:space="0" w:color="auto"/>
        <w:bottom w:val="none" w:sz="0" w:space="0" w:color="auto"/>
        <w:right w:val="none" w:sz="0" w:space="0" w:color="auto"/>
      </w:divBdr>
    </w:div>
    <w:div w:id="295764443">
      <w:bodyDiv w:val="1"/>
      <w:marLeft w:val="0"/>
      <w:marRight w:val="0"/>
      <w:marTop w:val="0"/>
      <w:marBottom w:val="0"/>
      <w:divBdr>
        <w:top w:val="none" w:sz="0" w:space="0" w:color="auto"/>
        <w:left w:val="none" w:sz="0" w:space="0" w:color="auto"/>
        <w:bottom w:val="none" w:sz="0" w:space="0" w:color="auto"/>
        <w:right w:val="none" w:sz="0" w:space="0" w:color="auto"/>
      </w:divBdr>
    </w:div>
    <w:div w:id="313337287">
      <w:bodyDiv w:val="1"/>
      <w:marLeft w:val="0"/>
      <w:marRight w:val="0"/>
      <w:marTop w:val="0"/>
      <w:marBottom w:val="0"/>
      <w:divBdr>
        <w:top w:val="none" w:sz="0" w:space="0" w:color="auto"/>
        <w:left w:val="none" w:sz="0" w:space="0" w:color="auto"/>
        <w:bottom w:val="none" w:sz="0" w:space="0" w:color="auto"/>
        <w:right w:val="none" w:sz="0" w:space="0" w:color="auto"/>
      </w:divBdr>
    </w:div>
    <w:div w:id="951131776">
      <w:bodyDiv w:val="1"/>
      <w:marLeft w:val="0"/>
      <w:marRight w:val="0"/>
      <w:marTop w:val="0"/>
      <w:marBottom w:val="0"/>
      <w:divBdr>
        <w:top w:val="none" w:sz="0" w:space="0" w:color="auto"/>
        <w:left w:val="none" w:sz="0" w:space="0" w:color="auto"/>
        <w:bottom w:val="none" w:sz="0" w:space="0" w:color="auto"/>
        <w:right w:val="none" w:sz="0" w:space="0" w:color="auto"/>
      </w:divBdr>
    </w:div>
    <w:div w:id="1244140149">
      <w:bodyDiv w:val="1"/>
      <w:marLeft w:val="0"/>
      <w:marRight w:val="0"/>
      <w:marTop w:val="0"/>
      <w:marBottom w:val="0"/>
      <w:divBdr>
        <w:top w:val="none" w:sz="0" w:space="0" w:color="auto"/>
        <w:left w:val="none" w:sz="0" w:space="0" w:color="auto"/>
        <w:bottom w:val="none" w:sz="0" w:space="0" w:color="auto"/>
        <w:right w:val="none" w:sz="0" w:space="0" w:color="auto"/>
      </w:divBdr>
    </w:div>
    <w:div w:id="1308238883">
      <w:bodyDiv w:val="1"/>
      <w:marLeft w:val="0"/>
      <w:marRight w:val="0"/>
      <w:marTop w:val="0"/>
      <w:marBottom w:val="0"/>
      <w:divBdr>
        <w:top w:val="none" w:sz="0" w:space="0" w:color="auto"/>
        <w:left w:val="none" w:sz="0" w:space="0" w:color="auto"/>
        <w:bottom w:val="none" w:sz="0" w:space="0" w:color="auto"/>
        <w:right w:val="none" w:sz="0" w:space="0" w:color="auto"/>
      </w:divBdr>
    </w:div>
    <w:div w:id="1372681916">
      <w:bodyDiv w:val="1"/>
      <w:marLeft w:val="0"/>
      <w:marRight w:val="0"/>
      <w:marTop w:val="0"/>
      <w:marBottom w:val="0"/>
      <w:divBdr>
        <w:top w:val="none" w:sz="0" w:space="0" w:color="auto"/>
        <w:left w:val="none" w:sz="0" w:space="0" w:color="auto"/>
        <w:bottom w:val="none" w:sz="0" w:space="0" w:color="auto"/>
        <w:right w:val="none" w:sz="0" w:space="0" w:color="auto"/>
      </w:divBdr>
    </w:div>
    <w:div w:id="1488784387">
      <w:bodyDiv w:val="1"/>
      <w:marLeft w:val="0"/>
      <w:marRight w:val="0"/>
      <w:marTop w:val="0"/>
      <w:marBottom w:val="0"/>
      <w:divBdr>
        <w:top w:val="none" w:sz="0" w:space="0" w:color="auto"/>
        <w:left w:val="none" w:sz="0" w:space="0" w:color="auto"/>
        <w:bottom w:val="none" w:sz="0" w:space="0" w:color="auto"/>
        <w:right w:val="none" w:sz="0" w:space="0" w:color="auto"/>
      </w:divBdr>
    </w:div>
    <w:div w:id="1863350879">
      <w:bodyDiv w:val="1"/>
      <w:marLeft w:val="0"/>
      <w:marRight w:val="0"/>
      <w:marTop w:val="0"/>
      <w:marBottom w:val="0"/>
      <w:divBdr>
        <w:top w:val="none" w:sz="0" w:space="0" w:color="auto"/>
        <w:left w:val="none" w:sz="0" w:space="0" w:color="auto"/>
        <w:bottom w:val="none" w:sz="0" w:space="0" w:color="auto"/>
        <w:right w:val="none" w:sz="0" w:space="0" w:color="auto"/>
      </w:divBdr>
    </w:div>
    <w:div w:id="2105148231">
      <w:marLeft w:val="0"/>
      <w:marRight w:val="0"/>
      <w:marTop w:val="0"/>
      <w:marBottom w:val="0"/>
      <w:divBdr>
        <w:top w:val="none" w:sz="0" w:space="0" w:color="auto"/>
        <w:left w:val="none" w:sz="0" w:space="0" w:color="auto"/>
        <w:bottom w:val="none" w:sz="0" w:space="0" w:color="auto"/>
        <w:right w:val="none" w:sz="0" w:space="0" w:color="auto"/>
      </w:divBdr>
    </w:div>
    <w:div w:id="210514823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olfe@sgul.ac.uk" TargetMode="External"/><Relationship Id="rId13" Type="http://schemas.openxmlformats.org/officeDocument/2006/relationships/hyperlink" Target="http://webarchive.nationalarchives.gov.uk/20141205150130/http://www.mhra.gov.uk/home/groups/l-ctu/documents/websiteresources/con11178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mje.org"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erseevents@sgul.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kpharmasafety@gs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verseevents@sgul.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DA6A0-7D31-45EC-ABBA-BE17AAAC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14833</Words>
  <Characters>84961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CLINICAL STUDY PROTOCOL</vt:lpstr>
    </vt:vector>
  </TitlesOfParts>
  <Company>SGUL</Company>
  <LinksUpToDate>false</LinksUpToDate>
  <CharactersWithSpaces>99595</CharactersWithSpaces>
  <SharedDoc>false</SharedDoc>
  <HLinks>
    <vt:vector size="498" baseType="variant">
      <vt:variant>
        <vt:i4>3604515</vt:i4>
      </vt:variant>
      <vt:variant>
        <vt:i4>474</vt:i4>
      </vt:variant>
      <vt:variant>
        <vt:i4>0</vt:i4>
      </vt:variant>
      <vt:variant>
        <vt:i4>5</vt:i4>
      </vt:variant>
      <vt:variant>
        <vt:lpwstr>mailto:adverseevents@sgul.ac.uk</vt:lpwstr>
      </vt:variant>
      <vt:variant>
        <vt:lpwstr/>
      </vt:variant>
      <vt:variant>
        <vt:i4>1048581</vt:i4>
      </vt:variant>
      <vt:variant>
        <vt:i4>467</vt:i4>
      </vt:variant>
      <vt:variant>
        <vt:i4>0</vt:i4>
      </vt:variant>
      <vt:variant>
        <vt:i4>5</vt:i4>
      </vt:variant>
      <vt:variant>
        <vt:lpwstr/>
      </vt:variant>
      <vt:variant>
        <vt:lpwstr>_Toc470102534</vt:lpwstr>
      </vt:variant>
      <vt:variant>
        <vt:i4>1048578</vt:i4>
      </vt:variant>
      <vt:variant>
        <vt:i4>461</vt:i4>
      </vt:variant>
      <vt:variant>
        <vt:i4>0</vt:i4>
      </vt:variant>
      <vt:variant>
        <vt:i4>5</vt:i4>
      </vt:variant>
      <vt:variant>
        <vt:lpwstr/>
      </vt:variant>
      <vt:variant>
        <vt:lpwstr>_Toc470102533</vt:lpwstr>
      </vt:variant>
      <vt:variant>
        <vt:i4>1048579</vt:i4>
      </vt:variant>
      <vt:variant>
        <vt:i4>455</vt:i4>
      </vt:variant>
      <vt:variant>
        <vt:i4>0</vt:i4>
      </vt:variant>
      <vt:variant>
        <vt:i4>5</vt:i4>
      </vt:variant>
      <vt:variant>
        <vt:lpwstr/>
      </vt:variant>
      <vt:variant>
        <vt:lpwstr>_Toc470102532</vt:lpwstr>
      </vt:variant>
      <vt:variant>
        <vt:i4>1048576</vt:i4>
      </vt:variant>
      <vt:variant>
        <vt:i4>449</vt:i4>
      </vt:variant>
      <vt:variant>
        <vt:i4>0</vt:i4>
      </vt:variant>
      <vt:variant>
        <vt:i4>5</vt:i4>
      </vt:variant>
      <vt:variant>
        <vt:lpwstr/>
      </vt:variant>
      <vt:variant>
        <vt:lpwstr>_Toc470102531</vt:lpwstr>
      </vt:variant>
      <vt:variant>
        <vt:i4>1048577</vt:i4>
      </vt:variant>
      <vt:variant>
        <vt:i4>443</vt:i4>
      </vt:variant>
      <vt:variant>
        <vt:i4>0</vt:i4>
      </vt:variant>
      <vt:variant>
        <vt:i4>5</vt:i4>
      </vt:variant>
      <vt:variant>
        <vt:lpwstr/>
      </vt:variant>
      <vt:variant>
        <vt:lpwstr>_Toc470102530</vt:lpwstr>
      </vt:variant>
      <vt:variant>
        <vt:i4>1114120</vt:i4>
      </vt:variant>
      <vt:variant>
        <vt:i4>437</vt:i4>
      </vt:variant>
      <vt:variant>
        <vt:i4>0</vt:i4>
      </vt:variant>
      <vt:variant>
        <vt:i4>5</vt:i4>
      </vt:variant>
      <vt:variant>
        <vt:lpwstr/>
      </vt:variant>
      <vt:variant>
        <vt:lpwstr>_Toc470102529</vt:lpwstr>
      </vt:variant>
      <vt:variant>
        <vt:i4>1114121</vt:i4>
      </vt:variant>
      <vt:variant>
        <vt:i4>431</vt:i4>
      </vt:variant>
      <vt:variant>
        <vt:i4>0</vt:i4>
      </vt:variant>
      <vt:variant>
        <vt:i4>5</vt:i4>
      </vt:variant>
      <vt:variant>
        <vt:lpwstr/>
      </vt:variant>
      <vt:variant>
        <vt:lpwstr>_Toc470102528</vt:lpwstr>
      </vt:variant>
      <vt:variant>
        <vt:i4>1114118</vt:i4>
      </vt:variant>
      <vt:variant>
        <vt:i4>425</vt:i4>
      </vt:variant>
      <vt:variant>
        <vt:i4>0</vt:i4>
      </vt:variant>
      <vt:variant>
        <vt:i4>5</vt:i4>
      </vt:variant>
      <vt:variant>
        <vt:lpwstr/>
      </vt:variant>
      <vt:variant>
        <vt:lpwstr>_Toc470102527</vt:lpwstr>
      </vt:variant>
      <vt:variant>
        <vt:i4>1114119</vt:i4>
      </vt:variant>
      <vt:variant>
        <vt:i4>419</vt:i4>
      </vt:variant>
      <vt:variant>
        <vt:i4>0</vt:i4>
      </vt:variant>
      <vt:variant>
        <vt:i4>5</vt:i4>
      </vt:variant>
      <vt:variant>
        <vt:lpwstr/>
      </vt:variant>
      <vt:variant>
        <vt:lpwstr>_Toc470102526</vt:lpwstr>
      </vt:variant>
      <vt:variant>
        <vt:i4>1114116</vt:i4>
      </vt:variant>
      <vt:variant>
        <vt:i4>413</vt:i4>
      </vt:variant>
      <vt:variant>
        <vt:i4>0</vt:i4>
      </vt:variant>
      <vt:variant>
        <vt:i4>5</vt:i4>
      </vt:variant>
      <vt:variant>
        <vt:lpwstr/>
      </vt:variant>
      <vt:variant>
        <vt:lpwstr>_Toc470102525</vt:lpwstr>
      </vt:variant>
      <vt:variant>
        <vt:i4>1114117</vt:i4>
      </vt:variant>
      <vt:variant>
        <vt:i4>407</vt:i4>
      </vt:variant>
      <vt:variant>
        <vt:i4>0</vt:i4>
      </vt:variant>
      <vt:variant>
        <vt:i4>5</vt:i4>
      </vt:variant>
      <vt:variant>
        <vt:lpwstr/>
      </vt:variant>
      <vt:variant>
        <vt:lpwstr>_Toc470102524</vt:lpwstr>
      </vt:variant>
      <vt:variant>
        <vt:i4>1114114</vt:i4>
      </vt:variant>
      <vt:variant>
        <vt:i4>401</vt:i4>
      </vt:variant>
      <vt:variant>
        <vt:i4>0</vt:i4>
      </vt:variant>
      <vt:variant>
        <vt:i4>5</vt:i4>
      </vt:variant>
      <vt:variant>
        <vt:lpwstr/>
      </vt:variant>
      <vt:variant>
        <vt:lpwstr>_Toc470102523</vt:lpwstr>
      </vt:variant>
      <vt:variant>
        <vt:i4>1114115</vt:i4>
      </vt:variant>
      <vt:variant>
        <vt:i4>395</vt:i4>
      </vt:variant>
      <vt:variant>
        <vt:i4>0</vt:i4>
      </vt:variant>
      <vt:variant>
        <vt:i4>5</vt:i4>
      </vt:variant>
      <vt:variant>
        <vt:lpwstr/>
      </vt:variant>
      <vt:variant>
        <vt:lpwstr>_Toc470102522</vt:lpwstr>
      </vt:variant>
      <vt:variant>
        <vt:i4>1114112</vt:i4>
      </vt:variant>
      <vt:variant>
        <vt:i4>389</vt:i4>
      </vt:variant>
      <vt:variant>
        <vt:i4>0</vt:i4>
      </vt:variant>
      <vt:variant>
        <vt:i4>5</vt:i4>
      </vt:variant>
      <vt:variant>
        <vt:lpwstr/>
      </vt:variant>
      <vt:variant>
        <vt:lpwstr>_Toc470102521</vt:lpwstr>
      </vt:variant>
      <vt:variant>
        <vt:i4>1179657</vt:i4>
      </vt:variant>
      <vt:variant>
        <vt:i4>383</vt:i4>
      </vt:variant>
      <vt:variant>
        <vt:i4>0</vt:i4>
      </vt:variant>
      <vt:variant>
        <vt:i4>5</vt:i4>
      </vt:variant>
      <vt:variant>
        <vt:lpwstr/>
      </vt:variant>
      <vt:variant>
        <vt:lpwstr>_Toc470102518</vt:lpwstr>
      </vt:variant>
      <vt:variant>
        <vt:i4>1179654</vt:i4>
      </vt:variant>
      <vt:variant>
        <vt:i4>377</vt:i4>
      </vt:variant>
      <vt:variant>
        <vt:i4>0</vt:i4>
      </vt:variant>
      <vt:variant>
        <vt:i4>5</vt:i4>
      </vt:variant>
      <vt:variant>
        <vt:lpwstr/>
      </vt:variant>
      <vt:variant>
        <vt:lpwstr>_Toc470102517</vt:lpwstr>
      </vt:variant>
      <vt:variant>
        <vt:i4>1179652</vt:i4>
      </vt:variant>
      <vt:variant>
        <vt:i4>371</vt:i4>
      </vt:variant>
      <vt:variant>
        <vt:i4>0</vt:i4>
      </vt:variant>
      <vt:variant>
        <vt:i4>5</vt:i4>
      </vt:variant>
      <vt:variant>
        <vt:lpwstr/>
      </vt:variant>
      <vt:variant>
        <vt:lpwstr>_Toc470102515</vt:lpwstr>
      </vt:variant>
      <vt:variant>
        <vt:i4>1179653</vt:i4>
      </vt:variant>
      <vt:variant>
        <vt:i4>365</vt:i4>
      </vt:variant>
      <vt:variant>
        <vt:i4>0</vt:i4>
      </vt:variant>
      <vt:variant>
        <vt:i4>5</vt:i4>
      </vt:variant>
      <vt:variant>
        <vt:lpwstr/>
      </vt:variant>
      <vt:variant>
        <vt:lpwstr>_Toc470102514</vt:lpwstr>
      </vt:variant>
      <vt:variant>
        <vt:i4>1179650</vt:i4>
      </vt:variant>
      <vt:variant>
        <vt:i4>362</vt:i4>
      </vt:variant>
      <vt:variant>
        <vt:i4>0</vt:i4>
      </vt:variant>
      <vt:variant>
        <vt:i4>5</vt:i4>
      </vt:variant>
      <vt:variant>
        <vt:lpwstr/>
      </vt:variant>
      <vt:variant>
        <vt:lpwstr>_Toc470102513</vt:lpwstr>
      </vt:variant>
      <vt:variant>
        <vt:i4>1179651</vt:i4>
      </vt:variant>
      <vt:variant>
        <vt:i4>356</vt:i4>
      </vt:variant>
      <vt:variant>
        <vt:i4>0</vt:i4>
      </vt:variant>
      <vt:variant>
        <vt:i4>5</vt:i4>
      </vt:variant>
      <vt:variant>
        <vt:lpwstr/>
      </vt:variant>
      <vt:variant>
        <vt:lpwstr>_Toc470102512</vt:lpwstr>
      </vt:variant>
      <vt:variant>
        <vt:i4>1179648</vt:i4>
      </vt:variant>
      <vt:variant>
        <vt:i4>350</vt:i4>
      </vt:variant>
      <vt:variant>
        <vt:i4>0</vt:i4>
      </vt:variant>
      <vt:variant>
        <vt:i4>5</vt:i4>
      </vt:variant>
      <vt:variant>
        <vt:lpwstr/>
      </vt:variant>
      <vt:variant>
        <vt:lpwstr>_Toc470102511</vt:lpwstr>
      </vt:variant>
      <vt:variant>
        <vt:i4>1179649</vt:i4>
      </vt:variant>
      <vt:variant>
        <vt:i4>344</vt:i4>
      </vt:variant>
      <vt:variant>
        <vt:i4>0</vt:i4>
      </vt:variant>
      <vt:variant>
        <vt:i4>5</vt:i4>
      </vt:variant>
      <vt:variant>
        <vt:lpwstr/>
      </vt:variant>
      <vt:variant>
        <vt:lpwstr>_Toc470102510</vt:lpwstr>
      </vt:variant>
      <vt:variant>
        <vt:i4>1245192</vt:i4>
      </vt:variant>
      <vt:variant>
        <vt:i4>338</vt:i4>
      </vt:variant>
      <vt:variant>
        <vt:i4>0</vt:i4>
      </vt:variant>
      <vt:variant>
        <vt:i4>5</vt:i4>
      </vt:variant>
      <vt:variant>
        <vt:lpwstr/>
      </vt:variant>
      <vt:variant>
        <vt:lpwstr>_Toc470102509</vt:lpwstr>
      </vt:variant>
      <vt:variant>
        <vt:i4>1245193</vt:i4>
      </vt:variant>
      <vt:variant>
        <vt:i4>332</vt:i4>
      </vt:variant>
      <vt:variant>
        <vt:i4>0</vt:i4>
      </vt:variant>
      <vt:variant>
        <vt:i4>5</vt:i4>
      </vt:variant>
      <vt:variant>
        <vt:lpwstr/>
      </vt:variant>
      <vt:variant>
        <vt:lpwstr>_Toc470102508</vt:lpwstr>
      </vt:variant>
      <vt:variant>
        <vt:i4>1245190</vt:i4>
      </vt:variant>
      <vt:variant>
        <vt:i4>326</vt:i4>
      </vt:variant>
      <vt:variant>
        <vt:i4>0</vt:i4>
      </vt:variant>
      <vt:variant>
        <vt:i4>5</vt:i4>
      </vt:variant>
      <vt:variant>
        <vt:lpwstr/>
      </vt:variant>
      <vt:variant>
        <vt:lpwstr>_Toc470102507</vt:lpwstr>
      </vt:variant>
      <vt:variant>
        <vt:i4>1245191</vt:i4>
      </vt:variant>
      <vt:variant>
        <vt:i4>320</vt:i4>
      </vt:variant>
      <vt:variant>
        <vt:i4>0</vt:i4>
      </vt:variant>
      <vt:variant>
        <vt:i4>5</vt:i4>
      </vt:variant>
      <vt:variant>
        <vt:lpwstr/>
      </vt:variant>
      <vt:variant>
        <vt:lpwstr>_Toc470102506</vt:lpwstr>
      </vt:variant>
      <vt:variant>
        <vt:i4>1245188</vt:i4>
      </vt:variant>
      <vt:variant>
        <vt:i4>314</vt:i4>
      </vt:variant>
      <vt:variant>
        <vt:i4>0</vt:i4>
      </vt:variant>
      <vt:variant>
        <vt:i4>5</vt:i4>
      </vt:variant>
      <vt:variant>
        <vt:lpwstr/>
      </vt:variant>
      <vt:variant>
        <vt:lpwstr>_Toc470102505</vt:lpwstr>
      </vt:variant>
      <vt:variant>
        <vt:i4>1245189</vt:i4>
      </vt:variant>
      <vt:variant>
        <vt:i4>308</vt:i4>
      </vt:variant>
      <vt:variant>
        <vt:i4>0</vt:i4>
      </vt:variant>
      <vt:variant>
        <vt:i4>5</vt:i4>
      </vt:variant>
      <vt:variant>
        <vt:lpwstr/>
      </vt:variant>
      <vt:variant>
        <vt:lpwstr>_Toc470102504</vt:lpwstr>
      </vt:variant>
      <vt:variant>
        <vt:i4>1245186</vt:i4>
      </vt:variant>
      <vt:variant>
        <vt:i4>302</vt:i4>
      </vt:variant>
      <vt:variant>
        <vt:i4>0</vt:i4>
      </vt:variant>
      <vt:variant>
        <vt:i4>5</vt:i4>
      </vt:variant>
      <vt:variant>
        <vt:lpwstr/>
      </vt:variant>
      <vt:variant>
        <vt:lpwstr>_Toc470102503</vt:lpwstr>
      </vt:variant>
      <vt:variant>
        <vt:i4>1245187</vt:i4>
      </vt:variant>
      <vt:variant>
        <vt:i4>296</vt:i4>
      </vt:variant>
      <vt:variant>
        <vt:i4>0</vt:i4>
      </vt:variant>
      <vt:variant>
        <vt:i4>5</vt:i4>
      </vt:variant>
      <vt:variant>
        <vt:lpwstr/>
      </vt:variant>
      <vt:variant>
        <vt:lpwstr>_Toc470102502</vt:lpwstr>
      </vt:variant>
      <vt:variant>
        <vt:i4>1245184</vt:i4>
      </vt:variant>
      <vt:variant>
        <vt:i4>290</vt:i4>
      </vt:variant>
      <vt:variant>
        <vt:i4>0</vt:i4>
      </vt:variant>
      <vt:variant>
        <vt:i4>5</vt:i4>
      </vt:variant>
      <vt:variant>
        <vt:lpwstr/>
      </vt:variant>
      <vt:variant>
        <vt:lpwstr>_Toc470102501</vt:lpwstr>
      </vt:variant>
      <vt:variant>
        <vt:i4>1245185</vt:i4>
      </vt:variant>
      <vt:variant>
        <vt:i4>284</vt:i4>
      </vt:variant>
      <vt:variant>
        <vt:i4>0</vt:i4>
      </vt:variant>
      <vt:variant>
        <vt:i4>5</vt:i4>
      </vt:variant>
      <vt:variant>
        <vt:lpwstr/>
      </vt:variant>
      <vt:variant>
        <vt:lpwstr>_Toc470102500</vt:lpwstr>
      </vt:variant>
      <vt:variant>
        <vt:i4>1703945</vt:i4>
      </vt:variant>
      <vt:variant>
        <vt:i4>278</vt:i4>
      </vt:variant>
      <vt:variant>
        <vt:i4>0</vt:i4>
      </vt:variant>
      <vt:variant>
        <vt:i4>5</vt:i4>
      </vt:variant>
      <vt:variant>
        <vt:lpwstr/>
      </vt:variant>
      <vt:variant>
        <vt:lpwstr>_Toc470102499</vt:lpwstr>
      </vt:variant>
      <vt:variant>
        <vt:i4>1703944</vt:i4>
      </vt:variant>
      <vt:variant>
        <vt:i4>272</vt:i4>
      </vt:variant>
      <vt:variant>
        <vt:i4>0</vt:i4>
      </vt:variant>
      <vt:variant>
        <vt:i4>5</vt:i4>
      </vt:variant>
      <vt:variant>
        <vt:lpwstr/>
      </vt:variant>
      <vt:variant>
        <vt:lpwstr>_Toc470102498</vt:lpwstr>
      </vt:variant>
      <vt:variant>
        <vt:i4>1703943</vt:i4>
      </vt:variant>
      <vt:variant>
        <vt:i4>266</vt:i4>
      </vt:variant>
      <vt:variant>
        <vt:i4>0</vt:i4>
      </vt:variant>
      <vt:variant>
        <vt:i4>5</vt:i4>
      </vt:variant>
      <vt:variant>
        <vt:lpwstr/>
      </vt:variant>
      <vt:variant>
        <vt:lpwstr>_Toc470102497</vt:lpwstr>
      </vt:variant>
      <vt:variant>
        <vt:i4>1703942</vt:i4>
      </vt:variant>
      <vt:variant>
        <vt:i4>260</vt:i4>
      </vt:variant>
      <vt:variant>
        <vt:i4>0</vt:i4>
      </vt:variant>
      <vt:variant>
        <vt:i4>5</vt:i4>
      </vt:variant>
      <vt:variant>
        <vt:lpwstr/>
      </vt:variant>
      <vt:variant>
        <vt:lpwstr>_Toc470102496</vt:lpwstr>
      </vt:variant>
      <vt:variant>
        <vt:i4>1703941</vt:i4>
      </vt:variant>
      <vt:variant>
        <vt:i4>254</vt:i4>
      </vt:variant>
      <vt:variant>
        <vt:i4>0</vt:i4>
      </vt:variant>
      <vt:variant>
        <vt:i4>5</vt:i4>
      </vt:variant>
      <vt:variant>
        <vt:lpwstr/>
      </vt:variant>
      <vt:variant>
        <vt:lpwstr>_Toc470102495</vt:lpwstr>
      </vt:variant>
      <vt:variant>
        <vt:i4>1703940</vt:i4>
      </vt:variant>
      <vt:variant>
        <vt:i4>248</vt:i4>
      </vt:variant>
      <vt:variant>
        <vt:i4>0</vt:i4>
      </vt:variant>
      <vt:variant>
        <vt:i4>5</vt:i4>
      </vt:variant>
      <vt:variant>
        <vt:lpwstr/>
      </vt:variant>
      <vt:variant>
        <vt:lpwstr>_Toc470102494</vt:lpwstr>
      </vt:variant>
      <vt:variant>
        <vt:i4>1703939</vt:i4>
      </vt:variant>
      <vt:variant>
        <vt:i4>242</vt:i4>
      </vt:variant>
      <vt:variant>
        <vt:i4>0</vt:i4>
      </vt:variant>
      <vt:variant>
        <vt:i4>5</vt:i4>
      </vt:variant>
      <vt:variant>
        <vt:lpwstr/>
      </vt:variant>
      <vt:variant>
        <vt:lpwstr>_Toc470102493</vt:lpwstr>
      </vt:variant>
      <vt:variant>
        <vt:i4>1703938</vt:i4>
      </vt:variant>
      <vt:variant>
        <vt:i4>236</vt:i4>
      </vt:variant>
      <vt:variant>
        <vt:i4>0</vt:i4>
      </vt:variant>
      <vt:variant>
        <vt:i4>5</vt:i4>
      </vt:variant>
      <vt:variant>
        <vt:lpwstr/>
      </vt:variant>
      <vt:variant>
        <vt:lpwstr>_Toc470102492</vt:lpwstr>
      </vt:variant>
      <vt:variant>
        <vt:i4>1703937</vt:i4>
      </vt:variant>
      <vt:variant>
        <vt:i4>230</vt:i4>
      </vt:variant>
      <vt:variant>
        <vt:i4>0</vt:i4>
      </vt:variant>
      <vt:variant>
        <vt:i4>5</vt:i4>
      </vt:variant>
      <vt:variant>
        <vt:lpwstr/>
      </vt:variant>
      <vt:variant>
        <vt:lpwstr>_Toc470102491</vt:lpwstr>
      </vt:variant>
      <vt:variant>
        <vt:i4>1703936</vt:i4>
      </vt:variant>
      <vt:variant>
        <vt:i4>224</vt:i4>
      </vt:variant>
      <vt:variant>
        <vt:i4>0</vt:i4>
      </vt:variant>
      <vt:variant>
        <vt:i4>5</vt:i4>
      </vt:variant>
      <vt:variant>
        <vt:lpwstr/>
      </vt:variant>
      <vt:variant>
        <vt:lpwstr>_Toc470102490</vt:lpwstr>
      </vt:variant>
      <vt:variant>
        <vt:i4>1769481</vt:i4>
      </vt:variant>
      <vt:variant>
        <vt:i4>218</vt:i4>
      </vt:variant>
      <vt:variant>
        <vt:i4>0</vt:i4>
      </vt:variant>
      <vt:variant>
        <vt:i4>5</vt:i4>
      </vt:variant>
      <vt:variant>
        <vt:lpwstr/>
      </vt:variant>
      <vt:variant>
        <vt:lpwstr>_Toc470102489</vt:lpwstr>
      </vt:variant>
      <vt:variant>
        <vt:i4>1769480</vt:i4>
      </vt:variant>
      <vt:variant>
        <vt:i4>212</vt:i4>
      </vt:variant>
      <vt:variant>
        <vt:i4>0</vt:i4>
      </vt:variant>
      <vt:variant>
        <vt:i4>5</vt:i4>
      </vt:variant>
      <vt:variant>
        <vt:lpwstr/>
      </vt:variant>
      <vt:variant>
        <vt:lpwstr>_Toc470102488</vt:lpwstr>
      </vt:variant>
      <vt:variant>
        <vt:i4>1769479</vt:i4>
      </vt:variant>
      <vt:variant>
        <vt:i4>206</vt:i4>
      </vt:variant>
      <vt:variant>
        <vt:i4>0</vt:i4>
      </vt:variant>
      <vt:variant>
        <vt:i4>5</vt:i4>
      </vt:variant>
      <vt:variant>
        <vt:lpwstr/>
      </vt:variant>
      <vt:variant>
        <vt:lpwstr>_Toc470102487</vt:lpwstr>
      </vt:variant>
      <vt:variant>
        <vt:i4>1769478</vt:i4>
      </vt:variant>
      <vt:variant>
        <vt:i4>200</vt:i4>
      </vt:variant>
      <vt:variant>
        <vt:i4>0</vt:i4>
      </vt:variant>
      <vt:variant>
        <vt:i4>5</vt:i4>
      </vt:variant>
      <vt:variant>
        <vt:lpwstr/>
      </vt:variant>
      <vt:variant>
        <vt:lpwstr>_Toc470102486</vt:lpwstr>
      </vt:variant>
      <vt:variant>
        <vt:i4>1769477</vt:i4>
      </vt:variant>
      <vt:variant>
        <vt:i4>194</vt:i4>
      </vt:variant>
      <vt:variant>
        <vt:i4>0</vt:i4>
      </vt:variant>
      <vt:variant>
        <vt:i4>5</vt:i4>
      </vt:variant>
      <vt:variant>
        <vt:lpwstr/>
      </vt:variant>
      <vt:variant>
        <vt:lpwstr>_Toc470102485</vt:lpwstr>
      </vt:variant>
      <vt:variant>
        <vt:i4>1769476</vt:i4>
      </vt:variant>
      <vt:variant>
        <vt:i4>188</vt:i4>
      </vt:variant>
      <vt:variant>
        <vt:i4>0</vt:i4>
      </vt:variant>
      <vt:variant>
        <vt:i4>5</vt:i4>
      </vt:variant>
      <vt:variant>
        <vt:lpwstr/>
      </vt:variant>
      <vt:variant>
        <vt:lpwstr>_Toc470102484</vt:lpwstr>
      </vt:variant>
      <vt:variant>
        <vt:i4>1769475</vt:i4>
      </vt:variant>
      <vt:variant>
        <vt:i4>182</vt:i4>
      </vt:variant>
      <vt:variant>
        <vt:i4>0</vt:i4>
      </vt:variant>
      <vt:variant>
        <vt:i4>5</vt:i4>
      </vt:variant>
      <vt:variant>
        <vt:lpwstr/>
      </vt:variant>
      <vt:variant>
        <vt:lpwstr>_Toc470102483</vt:lpwstr>
      </vt:variant>
      <vt:variant>
        <vt:i4>1769474</vt:i4>
      </vt:variant>
      <vt:variant>
        <vt:i4>176</vt:i4>
      </vt:variant>
      <vt:variant>
        <vt:i4>0</vt:i4>
      </vt:variant>
      <vt:variant>
        <vt:i4>5</vt:i4>
      </vt:variant>
      <vt:variant>
        <vt:lpwstr/>
      </vt:variant>
      <vt:variant>
        <vt:lpwstr>_Toc470102482</vt:lpwstr>
      </vt:variant>
      <vt:variant>
        <vt:i4>1769473</vt:i4>
      </vt:variant>
      <vt:variant>
        <vt:i4>170</vt:i4>
      </vt:variant>
      <vt:variant>
        <vt:i4>0</vt:i4>
      </vt:variant>
      <vt:variant>
        <vt:i4>5</vt:i4>
      </vt:variant>
      <vt:variant>
        <vt:lpwstr/>
      </vt:variant>
      <vt:variant>
        <vt:lpwstr>_Toc470102481</vt:lpwstr>
      </vt:variant>
      <vt:variant>
        <vt:i4>1769472</vt:i4>
      </vt:variant>
      <vt:variant>
        <vt:i4>164</vt:i4>
      </vt:variant>
      <vt:variant>
        <vt:i4>0</vt:i4>
      </vt:variant>
      <vt:variant>
        <vt:i4>5</vt:i4>
      </vt:variant>
      <vt:variant>
        <vt:lpwstr/>
      </vt:variant>
      <vt:variant>
        <vt:lpwstr>_Toc470102480</vt:lpwstr>
      </vt:variant>
      <vt:variant>
        <vt:i4>1310729</vt:i4>
      </vt:variant>
      <vt:variant>
        <vt:i4>158</vt:i4>
      </vt:variant>
      <vt:variant>
        <vt:i4>0</vt:i4>
      </vt:variant>
      <vt:variant>
        <vt:i4>5</vt:i4>
      </vt:variant>
      <vt:variant>
        <vt:lpwstr/>
      </vt:variant>
      <vt:variant>
        <vt:lpwstr>_Toc470102479</vt:lpwstr>
      </vt:variant>
      <vt:variant>
        <vt:i4>1310728</vt:i4>
      </vt:variant>
      <vt:variant>
        <vt:i4>152</vt:i4>
      </vt:variant>
      <vt:variant>
        <vt:i4>0</vt:i4>
      </vt:variant>
      <vt:variant>
        <vt:i4>5</vt:i4>
      </vt:variant>
      <vt:variant>
        <vt:lpwstr/>
      </vt:variant>
      <vt:variant>
        <vt:lpwstr>_Toc470102478</vt:lpwstr>
      </vt:variant>
      <vt:variant>
        <vt:i4>1310727</vt:i4>
      </vt:variant>
      <vt:variant>
        <vt:i4>146</vt:i4>
      </vt:variant>
      <vt:variant>
        <vt:i4>0</vt:i4>
      </vt:variant>
      <vt:variant>
        <vt:i4>5</vt:i4>
      </vt:variant>
      <vt:variant>
        <vt:lpwstr/>
      </vt:variant>
      <vt:variant>
        <vt:lpwstr>_Toc470102477</vt:lpwstr>
      </vt:variant>
      <vt:variant>
        <vt:i4>1310726</vt:i4>
      </vt:variant>
      <vt:variant>
        <vt:i4>140</vt:i4>
      </vt:variant>
      <vt:variant>
        <vt:i4>0</vt:i4>
      </vt:variant>
      <vt:variant>
        <vt:i4>5</vt:i4>
      </vt:variant>
      <vt:variant>
        <vt:lpwstr/>
      </vt:variant>
      <vt:variant>
        <vt:lpwstr>_Toc470102476</vt:lpwstr>
      </vt:variant>
      <vt:variant>
        <vt:i4>1310725</vt:i4>
      </vt:variant>
      <vt:variant>
        <vt:i4>134</vt:i4>
      </vt:variant>
      <vt:variant>
        <vt:i4>0</vt:i4>
      </vt:variant>
      <vt:variant>
        <vt:i4>5</vt:i4>
      </vt:variant>
      <vt:variant>
        <vt:lpwstr/>
      </vt:variant>
      <vt:variant>
        <vt:lpwstr>_Toc470102475</vt:lpwstr>
      </vt:variant>
      <vt:variant>
        <vt:i4>1310724</vt:i4>
      </vt:variant>
      <vt:variant>
        <vt:i4>128</vt:i4>
      </vt:variant>
      <vt:variant>
        <vt:i4>0</vt:i4>
      </vt:variant>
      <vt:variant>
        <vt:i4>5</vt:i4>
      </vt:variant>
      <vt:variant>
        <vt:lpwstr/>
      </vt:variant>
      <vt:variant>
        <vt:lpwstr>_Toc470102474</vt:lpwstr>
      </vt:variant>
      <vt:variant>
        <vt:i4>1310723</vt:i4>
      </vt:variant>
      <vt:variant>
        <vt:i4>122</vt:i4>
      </vt:variant>
      <vt:variant>
        <vt:i4>0</vt:i4>
      </vt:variant>
      <vt:variant>
        <vt:i4>5</vt:i4>
      </vt:variant>
      <vt:variant>
        <vt:lpwstr/>
      </vt:variant>
      <vt:variant>
        <vt:lpwstr>_Toc470102473</vt:lpwstr>
      </vt:variant>
      <vt:variant>
        <vt:i4>1310722</vt:i4>
      </vt:variant>
      <vt:variant>
        <vt:i4>116</vt:i4>
      </vt:variant>
      <vt:variant>
        <vt:i4>0</vt:i4>
      </vt:variant>
      <vt:variant>
        <vt:i4>5</vt:i4>
      </vt:variant>
      <vt:variant>
        <vt:lpwstr/>
      </vt:variant>
      <vt:variant>
        <vt:lpwstr>_Toc470102472</vt:lpwstr>
      </vt:variant>
      <vt:variant>
        <vt:i4>1310721</vt:i4>
      </vt:variant>
      <vt:variant>
        <vt:i4>110</vt:i4>
      </vt:variant>
      <vt:variant>
        <vt:i4>0</vt:i4>
      </vt:variant>
      <vt:variant>
        <vt:i4>5</vt:i4>
      </vt:variant>
      <vt:variant>
        <vt:lpwstr/>
      </vt:variant>
      <vt:variant>
        <vt:lpwstr>_Toc470102471</vt:lpwstr>
      </vt:variant>
      <vt:variant>
        <vt:i4>1310720</vt:i4>
      </vt:variant>
      <vt:variant>
        <vt:i4>104</vt:i4>
      </vt:variant>
      <vt:variant>
        <vt:i4>0</vt:i4>
      </vt:variant>
      <vt:variant>
        <vt:i4>5</vt:i4>
      </vt:variant>
      <vt:variant>
        <vt:lpwstr/>
      </vt:variant>
      <vt:variant>
        <vt:lpwstr>_Toc470102470</vt:lpwstr>
      </vt:variant>
      <vt:variant>
        <vt:i4>1376265</vt:i4>
      </vt:variant>
      <vt:variant>
        <vt:i4>98</vt:i4>
      </vt:variant>
      <vt:variant>
        <vt:i4>0</vt:i4>
      </vt:variant>
      <vt:variant>
        <vt:i4>5</vt:i4>
      </vt:variant>
      <vt:variant>
        <vt:lpwstr/>
      </vt:variant>
      <vt:variant>
        <vt:lpwstr>_Toc470102469</vt:lpwstr>
      </vt:variant>
      <vt:variant>
        <vt:i4>1376264</vt:i4>
      </vt:variant>
      <vt:variant>
        <vt:i4>92</vt:i4>
      </vt:variant>
      <vt:variant>
        <vt:i4>0</vt:i4>
      </vt:variant>
      <vt:variant>
        <vt:i4>5</vt:i4>
      </vt:variant>
      <vt:variant>
        <vt:lpwstr/>
      </vt:variant>
      <vt:variant>
        <vt:lpwstr>_Toc470102468</vt:lpwstr>
      </vt:variant>
      <vt:variant>
        <vt:i4>1376263</vt:i4>
      </vt:variant>
      <vt:variant>
        <vt:i4>86</vt:i4>
      </vt:variant>
      <vt:variant>
        <vt:i4>0</vt:i4>
      </vt:variant>
      <vt:variant>
        <vt:i4>5</vt:i4>
      </vt:variant>
      <vt:variant>
        <vt:lpwstr/>
      </vt:variant>
      <vt:variant>
        <vt:lpwstr>_Toc470102467</vt:lpwstr>
      </vt:variant>
      <vt:variant>
        <vt:i4>1376262</vt:i4>
      </vt:variant>
      <vt:variant>
        <vt:i4>80</vt:i4>
      </vt:variant>
      <vt:variant>
        <vt:i4>0</vt:i4>
      </vt:variant>
      <vt:variant>
        <vt:i4>5</vt:i4>
      </vt:variant>
      <vt:variant>
        <vt:lpwstr/>
      </vt:variant>
      <vt:variant>
        <vt:lpwstr>_Toc470102466</vt:lpwstr>
      </vt:variant>
      <vt:variant>
        <vt:i4>1376261</vt:i4>
      </vt:variant>
      <vt:variant>
        <vt:i4>74</vt:i4>
      </vt:variant>
      <vt:variant>
        <vt:i4>0</vt:i4>
      </vt:variant>
      <vt:variant>
        <vt:i4>5</vt:i4>
      </vt:variant>
      <vt:variant>
        <vt:lpwstr/>
      </vt:variant>
      <vt:variant>
        <vt:lpwstr>_Toc470102465</vt:lpwstr>
      </vt:variant>
      <vt:variant>
        <vt:i4>1376260</vt:i4>
      </vt:variant>
      <vt:variant>
        <vt:i4>68</vt:i4>
      </vt:variant>
      <vt:variant>
        <vt:i4>0</vt:i4>
      </vt:variant>
      <vt:variant>
        <vt:i4>5</vt:i4>
      </vt:variant>
      <vt:variant>
        <vt:lpwstr/>
      </vt:variant>
      <vt:variant>
        <vt:lpwstr>_Toc470102464</vt:lpwstr>
      </vt:variant>
      <vt:variant>
        <vt:i4>1376259</vt:i4>
      </vt:variant>
      <vt:variant>
        <vt:i4>62</vt:i4>
      </vt:variant>
      <vt:variant>
        <vt:i4>0</vt:i4>
      </vt:variant>
      <vt:variant>
        <vt:i4>5</vt:i4>
      </vt:variant>
      <vt:variant>
        <vt:lpwstr/>
      </vt:variant>
      <vt:variant>
        <vt:lpwstr>_Toc470102463</vt:lpwstr>
      </vt:variant>
      <vt:variant>
        <vt:i4>1376258</vt:i4>
      </vt:variant>
      <vt:variant>
        <vt:i4>56</vt:i4>
      </vt:variant>
      <vt:variant>
        <vt:i4>0</vt:i4>
      </vt:variant>
      <vt:variant>
        <vt:i4>5</vt:i4>
      </vt:variant>
      <vt:variant>
        <vt:lpwstr/>
      </vt:variant>
      <vt:variant>
        <vt:lpwstr>_Toc470102462</vt:lpwstr>
      </vt:variant>
      <vt:variant>
        <vt:i4>1376257</vt:i4>
      </vt:variant>
      <vt:variant>
        <vt:i4>50</vt:i4>
      </vt:variant>
      <vt:variant>
        <vt:i4>0</vt:i4>
      </vt:variant>
      <vt:variant>
        <vt:i4>5</vt:i4>
      </vt:variant>
      <vt:variant>
        <vt:lpwstr/>
      </vt:variant>
      <vt:variant>
        <vt:lpwstr>_Toc470102461</vt:lpwstr>
      </vt:variant>
      <vt:variant>
        <vt:i4>1376256</vt:i4>
      </vt:variant>
      <vt:variant>
        <vt:i4>44</vt:i4>
      </vt:variant>
      <vt:variant>
        <vt:i4>0</vt:i4>
      </vt:variant>
      <vt:variant>
        <vt:i4>5</vt:i4>
      </vt:variant>
      <vt:variant>
        <vt:lpwstr/>
      </vt:variant>
      <vt:variant>
        <vt:lpwstr>_Toc470102460</vt:lpwstr>
      </vt:variant>
      <vt:variant>
        <vt:i4>1441801</vt:i4>
      </vt:variant>
      <vt:variant>
        <vt:i4>38</vt:i4>
      </vt:variant>
      <vt:variant>
        <vt:i4>0</vt:i4>
      </vt:variant>
      <vt:variant>
        <vt:i4>5</vt:i4>
      </vt:variant>
      <vt:variant>
        <vt:lpwstr/>
      </vt:variant>
      <vt:variant>
        <vt:lpwstr>_Toc470102459</vt:lpwstr>
      </vt:variant>
      <vt:variant>
        <vt:i4>1441800</vt:i4>
      </vt:variant>
      <vt:variant>
        <vt:i4>32</vt:i4>
      </vt:variant>
      <vt:variant>
        <vt:i4>0</vt:i4>
      </vt:variant>
      <vt:variant>
        <vt:i4>5</vt:i4>
      </vt:variant>
      <vt:variant>
        <vt:lpwstr/>
      </vt:variant>
      <vt:variant>
        <vt:lpwstr>_Toc470102458</vt:lpwstr>
      </vt:variant>
      <vt:variant>
        <vt:i4>1441799</vt:i4>
      </vt:variant>
      <vt:variant>
        <vt:i4>26</vt:i4>
      </vt:variant>
      <vt:variant>
        <vt:i4>0</vt:i4>
      </vt:variant>
      <vt:variant>
        <vt:i4>5</vt:i4>
      </vt:variant>
      <vt:variant>
        <vt:lpwstr/>
      </vt:variant>
      <vt:variant>
        <vt:lpwstr>_Toc470102457</vt:lpwstr>
      </vt:variant>
      <vt:variant>
        <vt:i4>1441798</vt:i4>
      </vt:variant>
      <vt:variant>
        <vt:i4>20</vt:i4>
      </vt:variant>
      <vt:variant>
        <vt:i4>0</vt:i4>
      </vt:variant>
      <vt:variant>
        <vt:i4>5</vt:i4>
      </vt:variant>
      <vt:variant>
        <vt:lpwstr/>
      </vt:variant>
      <vt:variant>
        <vt:lpwstr>_Toc470102456</vt:lpwstr>
      </vt:variant>
      <vt:variant>
        <vt:i4>1441797</vt:i4>
      </vt:variant>
      <vt:variant>
        <vt:i4>14</vt:i4>
      </vt:variant>
      <vt:variant>
        <vt:i4>0</vt:i4>
      </vt:variant>
      <vt:variant>
        <vt:i4>5</vt:i4>
      </vt:variant>
      <vt:variant>
        <vt:lpwstr/>
      </vt:variant>
      <vt:variant>
        <vt:lpwstr>_Toc470102455</vt:lpwstr>
      </vt:variant>
      <vt:variant>
        <vt:i4>1441796</vt:i4>
      </vt:variant>
      <vt:variant>
        <vt:i4>8</vt:i4>
      </vt:variant>
      <vt:variant>
        <vt:i4>0</vt:i4>
      </vt:variant>
      <vt:variant>
        <vt:i4>5</vt:i4>
      </vt:variant>
      <vt:variant>
        <vt:lpwstr/>
      </vt:variant>
      <vt:variant>
        <vt:lpwstr>_Toc470102454</vt:lpwstr>
      </vt:variant>
      <vt:variant>
        <vt:i4>6291471</vt:i4>
      </vt:variant>
      <vt:variant>
        <vt:i4>3</vt:i4>
      </vt:variant>
      <vt:variant>
        <vt:i4>0</vt:i4>
      </vt:variant>
      <vt:variant>
        <vt:i4>5</vt:i4>
      </vt:variant>
      <vt:variant>
        <vt:lpwstr>mailto:drolfe@sgul.ac.uk</vt:lpwstr>
      </vt:variant>
      <vt:variant>
        <vt:lpwstr/>
      </vt:variant>
      <vt:variant>
        <vt:i4>7077909</vt:i4>
      </vt:variant>
      <vt:variant>
        <vt:i4>0</vt:i4>
      </vt:variant>
      <vt:variant>
        <vt:i4>0</vt:i4>
      </vt:variant>
      <vt:variant>
        <vt:i4>5</vt:i4>
      </vt:variant>
      <vt:variant>
        <vt:lpwstr>mailto:pheath@sgul.ac.uk</vt:lpwstr>
      </vt:variant>
      <vt:variant>
        <vt:lpwstr/>
      </vt:variant>
      <vt:variant>
        <vt:i4>2555958</vt:i4>
      </vt:variant>
      <vt:variant>
        <vt:i4>0</vt:i4>
      </vt:variant>
      <vt:variant>
        <vt:i4>0</vt:i4>
      </vt:variant>
      <vt:variant>
        <vt:i4>5</vt:i4>
      </vt:variant>
      <vt:variant>
        <vt:lpwstr>http://webarchive.nationalarchives.gov.uk/20141205150130/http://www.mhra.gov.uk/home/groups/l-ctu/documents/websiteresources/con111784.pdf</vt:lpwstr>
      </vt:variant>
      <vt:variant>
        <vt:lpwstr/>
      </vt:variant>
      <vt:variant>
        <vt:i4>7536660</vt:i4>
      </vt:variant>
      <vt:variant>
        <vt:i4>91980</vt:i4>
      </vt:variant>
      <vt:variant>
        <vt:i4>1026</vt:i4>
      </vt:variant>
      <vt:variant>
        <vt:i4>1</vt:i4>
      </vt:variant>
      <vt:variant>
        <vt:lpwstr>St Georges Universit#4AF27F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STUDY PROTOCOL</dc:title>
  <dc:creator>Andrew Hitchings</dc:creator>
  <cp:lastModifiedBy>Anna Calvert</cp:lastModifiedBy>
  <cp:revision>2</cp:revision>
  <cp:lastPrinted>2018-04-19T07:41:00Z</cp:lastPrinted>
  <dcterms:created xsi:type="dcterms:W3CDTF">2018-08-02T10:18:00Z</dcterms:created>
  <dcterms:modified xsi:type="dcterms:W3CDTF">2018-08-02T10:18:00Z</dcterms:modified>
</cp:coreProperties>
</file>